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447873">
      <w:pPr>
        <w:pStyle w:val="19"/>
        <w:snapToGrid w:val="0"/>
        <w:spacing w:line="240" w:lineRule="auto"/>
        <w:ind w:left="2880" w:right="0" w:hanging="2880" w:firstLineChars="0"/>
        <w:jc w:val="center"/>
        <w:rPr>
          <w:rFonts w:hint="eastAsia" w:ascii="方正小标宋_GBK" w:hAnsi="方正小标宋_GBK" w:eastAsia="方正小标宋_GBK" w:cs="方正小标宋_GBK"/>
          <w:b/>
          <w:sz w:val="52"/>
          <w:szCs w:val="52"/>
        </w:rPr>
      </w:pPr>
    </w:p>
    <w:p w14:paraId="6EDD2890">
      <w:pPr>
        <w:pStyle w:val="19"/>
        <w:autoSpaceDE/>
        <w:autoSpaceDN/>
        <w:snapToGrid w:val="0"/>
        <w:spacing w:line="240" w:lineRule="auto"/>
        <w:ind w:right="0"/>
        <w:jc w:val="center"/>
        <w:rPr>
          <w:rFonts w:hint="eastAsia" w:ascii="方正小标宋_GBK" w:hAnsi="方正小标宋_GBK" w:eastAsia="方正小标宋_GBK" w:cs="方正小标宋_GBK"/>
          <w:b/>
          <w:sz w:val="52"/>
          <w:szCs w:val="52"/>
          <w:lang w:val="en-US" w:eastAsia="zh-CN"/>
        </w:rPr>
      </w:pPr>
      <w:r>
        <w:rPr>
          <w:rFonts w:hint="eastAsia" w:ascii="方正小标宋_GBK" w:hAnsi="方正小标宋_GBK" w:eastAsia="方正小标宋_GBK" w:cs="方正小标宋_GBK"/>
          <w:b/>
          <w:sz w:val="52"/>
          <w:szCs w:val="52"/>
          <w:lang w:val="en-US" w:eastAsia="zh-CN"/>
        </w:rPr>
        <w:t>山窝220千伏输变电工程</w:t>
      </w:r>
    </w:p>
    <w:p w14:paraId="5675DE23">
      <w:pPr>
        <w:pStyle w:val="19"/>
        <w:autoSpaceDE/>
        <w:autoSpaceDN/>
        <w:snapToGrid w:val="0"/>
        <w:spacing w:line="240" w:lineRule="auto"/>
        <w:ind w:right="0"/>
        <w:jc w:val="center"/>
        <w:rPr>
          <w:rFonts w:hint="default" w:ascii="方正小标宋_GBK" w:hAnsi="方正小标宋_GBK" w:eastAsia="方正小标宋_GBK" w:cs="方正小标宋_GBK"/>
          <w:b/>
          <w:kern w:val="2"/>
          <w:sz w:val="52"/>
          <w:szCs w:val="52"/>
          <w:lang w:val="en-US" w:eastAsia="zh-CN"/>
        </w:rPr>
      </w:pPr>
      <w:r>
        <w:rPr>
          <w:rFonts w:hint="eastAsia" w:ascii="方正小标宋_GBK" w:hAnsi="方正小标宋_GBK" w:eastAsia="方正小标宋_GBK" w:cs="方正小标宋_GBK"/>
          <w:b/>
          <w:sz w:val="52"/>
          <w:szCs w:val="52"/>
          <w:lang w:val="en-US" w:eastAsia="zh-CN"/>
        </w:rPr>
        <w:t>10千伏并联电容器采购</w:t>
      </w:r>
    </w:p>
    <w:p w14:paraId="7E45B192">
      <w:pPr>
        <w:pStyle w:val="19"/>
        <w:snapToGrid w:val="0"/>
        <w:spacing w:line="240" w:lineRule="auto"/>
        <w:ind w:left="2880" w:right="0" w:hanging="2880" w:firstLineChars="0"/>
        <w:jc w:val="center"/>
        <w:rPr>
          <w:rFonts w:hint="eastAsia" w:ascii="方正小标宋_GBK" w:hAnsi="方正小标宋_GBK" w:eastAsia="方正小标宋_GBK" w:cs="方正小标宋_GBK"/>
          <w:b/>
          <w:sz w:val="52"/>
          <w:szCs w:val="52"/>
        </w:rPr>
      </w:pPr>
    </w:p>
    <w:p w14:paraId="50C0F9F3">
      <w:pPr>
        <w:autoSpaceDE w:val="0"/>
        <w:autoSpaceDN w:val="0"/>
        <w:adjustRightInd w:val="0"/>
        <w:snapToGrid w:val="0"/>
        <w:spacing w:line="360" w:lineRule="auto"/>
        <w:rPr>
          <w:rFonts w:ascii="宋体" w:hAnsi="宋体" w:cs="MingLiU"/>
          <w:kern w:val="0"/>
          <w:sz w:val="20"/>
          <w:szCs w:val="20"/>
        </w:rPr>
      </w:pPr>
    </w:p>
    <w:p w14:paraId="5AB5E5B7">
      <w:pPr>
        <w:autoSpaceDE w:val="0"/>
        <w:autoSpaceDN w:val="0"/>
        <w:adjustRightInd w:val="0"/>
        <w:snapToGrid w:val="0"/>
        <w:spacing w:line="360" w:lineRule="auto"/>
        <w:jc w:val="center"/>
        <w:rPr>
          <w:rFonts w:ascii="方正小标宋_GBK" w:hAnsi="方正小标宋_GBK" w:eastAsia="方正小标宋_GBK" w:cs="方正小标宋_GBK"/>
          <w:b/>
          <w:sz w:val="32"/>
          <w:szCs w:val="32"/>
        </w:rPr>
      </w:pPr>
    </w:p>
    <w:p w14:paraId="21C4A354">
      <w:pPr>
        <w:autoSpaceDE w:val="0"/>
        <w:autoSpaceDN w:val="0"/>
        <w:adjustRightInd w:val="0"/>
        <w:snapToGrid w:val="0"/>
        <w:spacing w:line="360" w:lineRule="auto"/>
        <w:jc w:val="center"/>
        <w:rPr>
          <w:rFonts w:ascii="方正小标宋_GBK" w:hAnsi="方正小标宋_GBK" w:eastAsia="方正小标宋_GBK" w:cs="方正小标宋_GBK"/>
          <w:b/>
          <w:sz w:val="32"/>
          <w:szCs w:val="32"/>
        </w:rPr>
      </w:pPr>
    </w:p>
    <w:p w14:paraId="1B0E3B4B">
      <w:pPr>
        <w:pStyle w:val="19"/>
        <w:snapToGrid w:val="0"/>
        <w:spacing w:line="240" w:lineRule="auto"/>
        <w:ind w:left="2880" w:right="0" w:hanging="2880" w:firstLineChars="0"/>
        <w:jc w:val="center"/>
        <w:rPr>
          <w:rFonts w:ascii="方正小标宋_GBK" w:hAnsi="方正小标宋_GBK" w:eastAsia="方正小标宋_GBK" w:cs="方正小标宋_GBK"/>
          <w:b/>
          <w:sz w:val="52"/>
          <w:szCs w:val="52"/>
        </w:rPr>
      </w:pPr>
      <w:r>
        <w:rPr>
          <w:rFonts w:hint="eastAsia" w:ascii="方正小标宋_GBK" w:hAnsi="方正小标宋_GBK" w:eastAsia="方正小标宋_GBK" w:cs="方正小标宋_GBK"/>
          <w:b/>
          <w:sz w:val="52"/>
          <w:szCs w:val="52"/>
          <w:lang w:eastAsia="zh-CN"/>
        </w:rPr>
        <w:t>竞争谈判</w:t>
      </w:r>
      <w:r>
        <w:rPr>
          <w:rFonts w:hint="eastAsia" w:ascii="方正小标宋_GBK" w:hAnsi="方正小标宋_GBK" w:eastAsia="方正小标宋_GBK" w:cs="方正小标宋_GBK"/>
          <w:b/>
          <w:sz w:val="52"/>
          <w:szCs w:val="52"/>
        </w:rPr>
        <w:t>文件</w:t>
      </w:r>
    </w:p>
    <w:p w14:paraId="0AC5E4C6">
      <w:pPr>
        <w:pStyle w:val="19"/>
        <w:snapToGrid w:val="0"/>
        <w:spacing w:line="480" w:lineRule="auto"/>
        <w:ind w:left="2880" w:right="0" w:hanging="2880" w:firstLineChars="0"/>
        <w:jc w:val="center"/>
        <w:rPr>
          <w:rFonts w:ascii="方正小标宋_GBK" w:hAnsi="方正小标宋_GBK" w:eastAsia="方正小标宋_GBK" w:cs="方正小标宋_GBK"/>
          <w:b/>
          <w:sz w:val="32"/>
          <w:szCs w:val="32"/>
        </w:rPr>
      </w:pPr>
      <w:bookmarkStart w:id="833" w:name="_GoBack"/>
      <w:bookmarkEnd w:id="833"/>
    </w:p>
    <w:p w14:paraId="2F7CB1FE">
      <w:pPr>
        <w:pStyle w:val="19"/>
        <w:snapToGrid w:val="0"/>
        <w:spacing w:line="480" w:lineRule="auto"/>
        <w:ind w:left="2880" w:right="0" w:hanging="2880" w:firstLineChars="0"/>
        <w:jc w:val="center"/>
        <w:rPr>
          <w:rFonts w:ascii="方正小标宋_GBK" w:hAnsi="方正小标宋_GBK" w:eastAsia="方正小标宋_GBK" w:cs="方正小标宋_GBK"/>
          <w:b/>
          <w:sz w:val="32"/>
          <w:szCs w:val="32"/>
        </w:rPr>
      </w:pPr>
    </w:p>
    <w:p w14:paraId="667C8A85">
      <w:pPr>
        <w:pStyle w:val="19"/>
        <w:snapToGrid w:val="0"/>
        <w:spacing w:line="480" w:lineRule="auto"/>
        <w:ind w:left="2880" w:right="0" w:hanging="2880" w:firstLineChars="0"/>
        <w:jc w:val="center"/>
        <w:rPr>
          <w:rFonts w:ascii="方正小标宋_GBK" w:hAnsi="方正小标宋_GBK" w:eastAsia="方正小标宋_GBK" w:cs="方正小标宋_GBK"/>
          <w:b/>
          <w:sz w:val="21"/>
          <w:szCs w:val="21"/>
        </w:rPr>
      </w:pPr>
    </w:p>
    <w:tbl>
      <w:tblPr>
        <w:tblStyle w:val="40"/>
        <w:tblpPr w:leftFromText="181" w:rightFromText="181" w:vertAnchor="text" w:tblpXSpec="outside" w:tblpY="1"/>
        <w:tblOverlap w:val="never"/>
        <w:tblW w:w="8894" w:type="dxa"/>
        <w:tblInd w:w="0" w:type="dxa"/>
        <w:tblLayout w:type="fixed"/>
        <w:tblCellMar>
          <w:top w:w="0" w:type="dxa"/>
          <w:left w:w="108" w:type="dxa"/>
          <w:bottom w:w="0" w:type="dxa"/>
          <w:right w:w="108" w:type="dxa"/>
        </w:tblCellMar>
      </w:tblPr>
      <w:tblGrid>
        <w:gridCol w:w="2490"/>
        <w:gridCol w:w="6404"/>
      </w:tblGrid>
      <w:tr w14:paraId="00219D3D">
        <w:tblPrEx>
          <w:tblCellMar>
            <w:top w:w="0" w:type="dxa"/>
            <w:left w:w="108" w:type="dxa"/>
            <w:bottom w:w="0" w:type="dxa"/>
            <w:right w:w="108" w:type="dxa"/>
          </w:tblCellMar>
        </w:tblPrEx>
        <w:trPr>
          <w:trHeight w:val="1001" w:hRule="atLeast"/>
        </w:trPr>
        <w:tc>
          <w:tcPr>
            <w:tcW w:w="2490" w:type="dxa"/>
            <w:vAlign w:val="center"/>
          </w:tcPr>
          <w:p w14:paraId="4FF83F05">
            <w:pPr>
              <w:adjustRightInd w:val="0"/>
              <w:snapToGrid w:val="0"/>
              <w:jc w:val="center"/>
              <w:rPr>
                <w:rFonts w:ascii="方正小标宋_GBK" w:hAnsi="方正小标宋_GBK" w:eastAsia="方正小标宋_GBK" w:cs="方正小标宋_GBK"/>
                <w:b/>
                <w:sz w:val="30"/>
                <w:szCs w:val="30"/>
                <w:lang w:bidi="en-US"/>
              </w:rPr>
            </w:pPr>
            <w:r>
              <w:rPr>
                <w:rFonts w:hint="eastAsia" w:ascii="方正小标宋_GBK" w:hAnsi="方正小标宋_GBK" w:eastAsia="方正小标宋_GBK" w:cs="方正小标宋_GBK"/>
                <w:b/>
                <w:sz w:val="30"/>
                <w:szCs w:val="30"/>
                <w:lang w:bidi="en-US"/>
              </w:rPr>
              <w:t>采   购  人：</w:t>
            </w:r>
          </w:p>
        </w:tc>
        <w:tc>
          <w:tcPr>
            <w:tcW w:w="6404" w:type="dxa"/>
            <w:vAlign w:val="center"/>
          </w:tcPr>
          <w:p w14:paraId="5C72C0BF">
            <w:pPr>
              <w:adjustRightInd w:val="0"/>
              <w:snapToGrid w:val="0"/>
              <w:jc w:val="left"/>
              <w:rPr>
                <w:rFonts w:ascii="方正小标宋_GBK" w:hAnsi="方正小标宋_GBK" w:eastAsia="方正小标宋_GBK" w:cs="方正小标宋_GBK"/>
                <w:b/>
                <w:sz w:val="30"/>
                <w:szCs w:val="30"/>
                <w:lang w:bidi="en-US"/>
              </w:rPr>
            </w:pPr>
            <w:r>
              <w:rPr>
                <w:rFonts w:hint="eastAsia" w:ascii="方正小标宋_GBK" w:hAnsi="方正小标宋_GBK" w:eastAsia="方正小标宋_GBK" w:cs="方正小标宋_GBK"/>
                <w:b/>
                <w:sz w:val="30"/>
                <w:szCs w:val="30"/>
                <w:lang w:bidi="en-US"/>
              </w:rPr>
              <w:t>重庆</w:t>
            </w:r>
            <w:r>
              <w:rPr>
                <w:rFonts w:hint="eastAsia" w:ascii="方正小标宋_GBK" w:hAnsi="方正小标宋_GBK" w:eastAsia="方正小标宋_GBK" w:cs="方正小标宋_GBK"/>
                <w:b/>
                <w:sz w:val="30"/>
                <w:szCs w:val="30"/>
                <w:lang w:val="en-US" w:eastAsia="zh-CN" w:bidi="en-US"/>
              </w:rPr>
              <w:t>涪陵聚龙电力</w:t>
            </w:r>
            <w:r>
              <w:rPr>
                <w:rFonts w:hint="eastAsia" w:ascii="方正小标宋_GBK" w:hAnsi="方正小标宋_GBK" w:eastAsia="方正小标宋_GBK" w:cs="方正小标宋_GBK"/>
                <w:b/>
                <w:sz w:val="30"/>
                <w:szCs w:val="30"/>
                <w:lang w:bidi="en-US"/>
              </w:rPr>
              <w:t>有限公司</w:t>
            </w:r>
          </w:p>
        </w:tc>
      </w:tr>
    </w:tbl>
    <w:p w14:paraId="57CD1B88">
      <w:pPr>
        <w:tabs>
          <w:tab w:val="left" w:pos="6219"/>
        </w:tabs>
        <w:autoSpaceDE w:val="0"/>
        <w:autoSpaceDN w:val="0"/>
        <w:adjustRightInd w:val="0"/>
        <w:snapToGrid w:val="0"/>
        <w:spacing w:line="360" w:lineRule="auto"/>
        <w:ind w:firstLine="635" w:firstLineChars="200"/>
        <w:rPr>
          <w:rFonts w:ascii="宋体" w:hAnsi="宋体" w:cs="MingLiU"/>
          <w:b/>
          <w:w w:val="99"/>
          <w:kern w:val="0"/>
          <w:sz w:val="32"/>
          <w:szCs w:val="32"/>
        </w:rPr>
      </w:pPr>
    </w:p>
    <w:p w14:paraId="0A8D994D">
      <w:pPr>
        <w:adjustRightInd w:val="0"/>
        <w:snapToGrid w:val="0"/>
        <w:jc w:val="center"/>
        <w:rPr>
          <w:rFonts w:ascii="Times New Roman" w:hAnsi="Times New Roman" w:eastAsia="黑体"/>
          <w:sz w:val="28"/>
        </w:rPr>
      </w:pPr>
      <w:r>
        <w:rPr>
          <w:rFonts w:hint="eastAsia" w:ascii="方正小标宋_GBK" w:hAnsi="方正小标宋_GBK" w:eastAsia="方正小标宋_GBK" w:cs="方正小标宋_GBK"/>
          <w:b/>
          <w:sz w:val="32"/>
          <w:szCs w:val="32"/>
        </w:rPr>
        <w:t>202</w:t>
      </w:r>
      <w:r>
        <w:rPr>
          <w:rFonts w:hint="eastAsia" w:ascii="方正小标宋_GBK" w:hAnsi="方正小标宋_GBK" w:eastAsia="方正小标宋_GBK" w:cs="方正小标宋_GBK"/>
          <w:b/>
          <w:sz w:val="32"/>
          <w:szCs w:val="32"/>
          <w:lang w:val="en-US" w:eastAsia="zh-CN"/>
        </w:rPr>
        <w:t>5</w:t>
      </w:r>
      <w:r>
        <w:rPr>
          <w:rFonts w:hint="eastAsia" w:ascii="方正小标宋_GBK" w:hAnsi="方正小标宋_GBK" w:eastAsia="方正小标宋_GBK" w:cs="方正小标宋_GBK"/>
          <w:b/>
          <w:sz w:val="32"/>
          <w:szCs w:val="32"/>
        </w:rPr>
        <w:t>年</w:t>
      </w:r>
      <w:r>
        <w:rPr>
          <w:rFonts w:hint="eastAsia" w:ascii="方正小标宋_GBK" w:hAnsi="方正小标宋_GBK" w:eastAsia="方正小标宋_GBK" w:cs="方正小标宋_GBK"/>
          <w:b/>
          <w:sz w:val="32"/>
          <w:szCs w:val="32"/>
          <w:lang w:val="en-US" w:eastAsia="zh-CN"/>
        </w:rPr>
        <w:t>6</w:t>
      </w:r>
      <w:r>
        <w:rPr>
          <w:rFonts w:hint="eastAsia" w:ascii="方正小标宋_GBK" w:hAnsi="方正小标宋_GBK" w:eastAsia="方正小标宋_GBK" w:cs="方正小标宋_GBK"/>
          <w:b/>
          <w:sz w:val="32"/>
          <w:szCs w:val="32"/>
        </w:rPr>
        <w:t>月</w:t>
      </w:r>
    </w:p>
    <w:p w14:paraId="01E80A9A">
      <w:pPr>
        <w:jc w:val="center"/>
        <w:rPr>
          <w:rFonts w:ascii="Times New Roman" w:hAnsi="Times New Roman" w:eastAsia="黑体"/>
          <w:sz w:val="28"/>
        </w:rPr>
      </w:pPr>
    </w:p>
    <w:p w14:paraId="169E794E">
      <w:pPr>
        <w:jc w:val="center"/>
        <w:rPr>
          <w:rFonts w:ascii="Times New Roman" w:hAnsi="Times New Roman"/>
        </w:rPr>
      </w:pPr>
      <w:r>
        <w:rPr>
          <w:rFonts w:ascii="Times New Roman" w:hAnsi="Times New Roman"/>
        </w:rPr>
        <w:br w:type="page"/>
      </w:r>
    </w:p>
    <w:p w14:paraId="4A0AC872">
      <w:pPr>
        <w:pStyle w:val="72"/>
        <w:jc w:val="center"/>
        <w:rPr>
          <w:rFonts w:ascii="宋体" w:hAnsi="宋体" w:eastAsia="宋体" w:cs="宋体"/>
          <w:bCs/>
          <w:color w:val="auto"/>
          <w:sz w:val="36"/>
          <w:szCs w:val="36"/>
          <w:lang w:val="zh-CN"/>
        </w:rPr>
      </w:pPr>
      <w:bookmarkStart w:id="0" w:name="_Toc152045511"/>
      <w:bookmarkStart w:id="1" w:name="_Toc152042287"/>
      <w:bookmarkStart w:id="2" w:name="_Toc144974479"/>
      <w:r>
        <w:rPr>
          <w:rFonts w:hint="eastAsia" w:ascii="宋体" w:hAnsi="宋体" w:eastAsia="宋体" w:cs="宋体"/>
          <w:bCs/>
          <w:color w:val="auto"/>
          <w:sz w:val="36"/>
          <w:szCs w:val="36"/>
          <w:lang w:val="zh-CN"/>
        </w:rPr>
        <w:t>目  录</w:t>
      </w:r>
    </w:p>
    <w:p w14:paraId="482191D1">
      <w:pPr>
        <w:rPr>
          <w:lang w:val="zh-CN"/>
        </w:rPr>
      </w:pPr>
    </w:p>
    <w:p w14:paraId="746B2CBF">
      <w:pPr>
        <w:pStyle w:val="28"/>
        <w:tabs>
          <w:tab w:val="right" w:leader="dot" w:pos="8630"/>
        </w:tabs>
        <w:spacing w:line="360" w:lineRule="auto"/>
        <w:rPr>
          <w:rFonts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TOC \o "1-3" \h \z \u </w:instrText>
      </w:r>
      <w:r>
        <w:rPr>
          <w:rFonts w:hint="eastAsia" w:ascii="宋体" w:hAnsi="宋体" w:eastAsia="宋体" w:cs="宋体"/>
          <w:sz w:val="24"/>
          <w:szCs w:val="24"/>
        </w:rPr>
        <w:fldChar w:fldCharType="separate"/>
      </w:r>
      <w:r>
        <w:fldChar w:fldCharType="begin"/>
      </w:r>
      <w:r>
        <w:instrText xml:space="preserve"> HYPERLINK \l "_Toc80884448" </w:instrText>
      </w:r>
      <w:r>
        <w:fldChar w:fldCharType="separate"/>
      </w:r>
      <w:r>
        <w:rPr>
          <w:rStyle w:val="45"/>
          <w:rFonts w:hint="eastAsia" w:ascii="宋体" w:hAnsi="宋体" w:eastAsia="宋体"/>
          <w:color w:val="auto"/>
          <w:sz w:val="24"/>
          <w:szCs w:val="24"/>
        </w:rPr>
        <w:t>第一卷</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_Toc80884448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14:paraId="7315C112">
      <w:pPr>
        <w:pStyle w:val="28"/>
        <w:tabs>
          <w:tab w:val="right" w:leader="dot" w:pos="8630"/>
        </w:tabs>
        <w:spacing w:line="360" w:lineRule="auto"/>
        <w:rPr>
          <w:rFonts w:ascii="宋体" w:hAnsi="宋体" w:eastAsia="宋体" w:cs="宋体"/>
          <w:sz w:val="24"/>
          <w:szCs w:val="24"/>
        </w:rPr>
      </w:pPr>
      <w:r>
        <w:fldChar w:fldCharType="begin"/>
      </w:r>
      <w:r>
        <w:instrText xml:space="preserve"> HYPERLINK \l "_Toc80884449" </w:instrText>
      </w:r>
      <w:r>
        <w:fldChar w:fldCharType="separate"/>
      </w:r>
      <w:r>
        <w:rPr>
          <w:rStyle w:val="45"/>
          <w:rFonts w:hint="eastAsia" w:ascii="宋体" w:hAnsi="宋体" w:eastAsia="宋体"/>
          <w:color w:val="auto"/>
          <w:sz w:val="24"/>
          <w:szCs w:val="24"/>
        </w:rPr>
        <w:t>第一章</w:t>
      </w:r>
      <w:r>
        <w:rPr>
          <w:rStyle w:val="45"/>
          <w:rFonts w:ascii="宋体" w:hAnsi="宋体" w:eastAsia="宋体"/>
          <w:color w:val="auto"/>
          <w:sz w:val="24"/>
          <w:szCs w:val="24"/>
        </w:rPr>
        <w:t xml:space="preserve">  </w:t>
      </w:r>
      <w:r>
        <w:rPr>
          <w:rStyle w:val="45"/>
          <w:rFonts w:hint="eastAsia" w:ascii="宋体" w:hAnsi="宋体"/>
          <w:color w:val="auto"/>
          <w:sz w:val="24"/>
          <w:szCs w:val="24"/>
          <w:lang w:eastAsia="zh-CN"/>
        </w:rPr>
        <w:t>竞争谈判</w:t>
      </w:r>
      <w:r>
        <w:rPr>
          <w:rStyle w:val="45"/>
          <w:rFonts w:hint="eastAsia" w:ascii="宋体" w:hAnsi="宋体" w:eastAsia="宋体"/>
          <w:color w:val="auto"/>
          <w:sz w:val="24"/>
          <w:szCs w:val="24"/>
          <w:lang w:val="en-US" w:eastAsia="zh-CN"/>
        </w:rPr>
        <w:t>公告</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_Toc80884449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14:paraId="3561EC36">
      <w:pPr>
        <w:pStyle w:val="28"/>
        <w:tabs>
          <w:tab w:val="right" w:leader="dot" w:pos="8630"/>
        </w:tabs>
        <w:spacing w:line="360" w:lineRule="auto"/>
        <w:rPr>
          <w:rFonts w:ascii="宋体" w:hAnsi="宋体" w:eastAsia="宋体" w:cs="宋体"/>
          <w:sz w:val="24"/>
          <w:szCs w:val="24"/>
        </w:rPr>
      </w:pPr>
      <w:r>
        <w:fldChar w:fldCharType="begin"/>
      </w:r>
      <w:r>
        <w:instrText xml:space="preserve"> HYPERLINK \l "_Toc80884450" </w:instrText>
      </w:r>
      <w:r>
        <w:fldChar w:fldCharType="separate"/>
      </w:r>
      <w:r>
        <w:rPr>
          <w:rStyle w:val="45"/>
          <w:rFonts w:hint="eastAsia" w:ascii="宋体" w:hAnsi="宋体" w:eastAsia="宋体"/>
          <w:color w:val="auto"/>
          <w:sz w:val="24"/>
          <w:szCs w:val="24"/>
        </w:rPr>
        <w:t>第二章  供应商须知</w:t>
      </w:r>
      <w:r>
        <w:rPr>
          <w:rFonts w:ascii="宋体" w:hAnsi="宋体" w:eastAsia="宋体"/>
          <w:sz w:val="24"/>
          <w:szCs w:val="24"/>
        </w:rPr>
        <w:tab/>
      </w:r>
      <w:r>
        <w:rPr>
          <w:rFonts w:hint="eastAsia" w:ascii="宋体" w:hAnsi="宋体"/>
          <w:sz w:val="24"/>
          <w:szCs w:val="24"/>
          <w:lang w:val="en-US" w:eastAsia="zh-CN"/>
        </w:rPr>
        <w:t>4</w:t>
      </w:r>
      <w:r>
        <w:rPr>
          <w:rFonts w:ascii="宋体" w:hAnsi="宋体" w:eastAsia="宋体"/>
          <w:sz w:val="24"/>
          <w:szCs w:val="24"/>
        </w:rPr>
        <w:fldChar w:fldCharType="end"/>
      </w:r>
    </w:p>
    <w:p w14:paraId="3C924A89">
      <w:pPr>
        <w:pStyle w:val="28"/>
        <w:tabs>
          <w:tab w:val="right" w:leader="dot" w:pos="8630"/>
        </w:tabs>
        <w:spacing w:line="360" w:lineRule="auto"/>
        <w:rPr>
          <w:rFonts w:ascii="宋体" w:hAnsi="宋体" w:eastAsia="宋体"/>
          <w:sz w:val="24"/>
          <w:szCs w:val="24"/>
        </w:rPr>
      </w:pPr>
      <w:r>
        <w:fldChar w:fldCharType="begin"/>
      </w:r>
      <w:r>
        <w:instrText xml:space="preserve"> HYPERLINK \l "_Toc80884451" </w:instrText>
      </w:r>
      <w:r>
        <w:fldChar w:fldCharType="separate"/>
      </w:r>
      <w:r>
        <w:rPr>
          <w:rStyle w:val="45"/>
          <w:rFonts w:hint="eastAsia" w:ascii="宋体" w:hAnsi="宋体" w:eastAsia="宋体"/>
          <w:color w:val="auto"/>
          <w:sz w:val="24"/>
          <w:szCs w:val="24"/>
        </w:rPr>
        <w:t>供应商须知前附表</w:t>
      </w:r>
      <w:r>
        <w:rPr>
          <w:rFonts w:ascii="宋体" w:hAnsi="宋体" w:eastAsia="宋体"/>
          <w:sz w:val="24"/>
          <w:szCs w:val="24"/>
        </w:rPr>
        <w:tab/>
      </w:r>
      <w:r>
        <w:rPr>
          <w:rFonts w:hint="eastAsia" w:ascii="宋体" w:hAnsi="宋体"/>
          <w:sz w:val="24"/>
          <w:szCs w:val="24"/>
          <w:lang w:val="en-US" w:eastAsia="zh-CN"/>
        </w:rPr>
        <w:t>4</w:t>
      </w:r>
      <w:r>
        <w:rPr>
          <w:rFonts w:ascii="宋体" w:hAnsi="宋体" w:eastAsia="宋体"/>
          <w:sz w:val="24"/>
          <w:szCs w:val="24"/>
        </w:rPr>
        <w:fldChar w:fldCharType="end"/>
      </w:r>
    </w:p>
    <w:p w14:paraId="610C199E">
      <w:pPr>
        <w:pStyle w:val="28"/>
        <w:tabs>
          <w:tab w:val="right" w:leader="dot" w:pos="8630"/>
        </w:tabs>
        <w:spacing w:line="360" w:lineRule="auto"/>
        <w:rPr>
          <w:rFonts w:ascii="宋体" w:hAnsi="宋体" w:eastAsia="宋体" w:cs="宋体"/>
          <w:sz w:val="24"/>
          <w:szCs w:val="24"/>
        </w:rPr>
      </w:pPr>
      <w:r>
        <w:fldChar w:fldCharType="begin"/>
      </w:r>
      <w:r>
        <w:instrText xml:space="preserve"> HYPERLINK \l "_Toc80884521" </w:instrText>
      </w:r>
      <w:r>
        <w:fldChar w:fldCharType="separate"/>
      </w:r>
      <w:r>
        <w:rPr>
          <w:rStyle w:val="45"/>
          <w:rFonts w:hint="eastAsia" w:ascii="宋体" w:hAnsi="宋体" w:eastAsia="宋体"/>
          <w:color w:val="auto"/>
          <w:sz w:val="24"/>
          <w:szCs w:val="24"/>
        </w:rPr>
        <w:t>第四章</w:t>
      </w:r>
      <w:r>
        <w:rPr>
          <w:rStyle w:val="45"/>
          <w:rFonts w:ascii="宋体" w:hAnsi="宋体" w:eastAsia="宋体"/>
          <w:color w:val="auto"/>
          <w:sz w:val="24"/>
          <w:szCs w:val="24"/>
        </w:rPr>
        <w:t xml:space="preserve">  </w:t>
      </w:r>
      <w:r>
        <w:rPr>
          <w:rStyle w:val="45"/>
          <w:rFonts w:hint="eastAsia" w:ascii="宋体" w:hAnsi="宋体" w:eastAsia="宋体"/>
          <w:color w:val="auto"/>
          <w:sz w:val="24"/>
          <w:szCs w:val="24"/>
          <w:lang w:val="en-US" w:eastAsia="zh-CN"/>
        </w:rPr>
        <w:t>供货要求</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_Toc80884521 \h </w:instrText>
      </w:r>
      <w:r>
        <w:rPr>
          <w:rFonts w:ascii="宋体" w:hAnsi="宋体" w:eastAsia="宋体"/>
          <w:sz w:val="24"/>
          <w:szCs w:val="24"/>
        </w:rPr>
        <w:fldChar w:fldCharType="separate"/>
      </w:r>
      <w:r>
        <w:rPr>
          <w:rFonts w:ascii="宋体" w:hAnsi="宋体" w:eastAsia="宋体"/>
          <w:sz w:val="24"/>
          <w:szCs w:val="24"/>
        </w:rPr>
        <w:t>3</w:t>
      </w:r>
      <w:r>
        <w:rPr>
          <w:rFonts w:hint="eastAsia" w:ascii="宋体" w:hAnsi="宋体"/>
          <w:sz w:val="24"/>
          <w:szCs w:val="24"/>
          <w:lang w:val="en-US" w:eastAsia="zh-CN"/>
        </w:rPr>
        <w:t>1</w:t>
      </w:r>
      <w:r>
        <w:rPr>
          <w:rFonts w:ascii="宋体" w:hAnsi="宋体" w:eastAsia="宋体"/>
          <w:sz w:val="24"/>
          <w:szCs w:val="24"/>
        </w:rPr>
        <w:fldChar w:fldCharType="end"/>
      </w:r>
      <w:r>
        <w:rPr>
          <w:rFonts w:ascii="宋体" w:hAnsi="宋体" w:eastAsia="宋体"/>
          <w:sz w:val="24"/>
          <w:szCs w:val="24"/>
        </w:rPr>
        <w:fldChar w:fldCharType="end"/>
      </w:r>
    </w:p>
    <w:p w14:paraId="287BD2D4">
      <w:pPr>
        <w:pStyle w:val="28"/>
        <w:tabs>
          <w:tab w:val="right" w:leader="dot" w:pos="8630"/>
        </w:tabs>
        <w:spacing w:line="360" w:lineRule="auto"/>
        <w:rPr>
          <w:rFonts w:hint="eastAsia" w:ascii="宋体" w:hAnsi="宋体" w:eastAsia="宋体" w:cs="宋体"/>
          <w:sz w:val="24"/>
          <w:szCs w:val="24"/>
          <w:lang w:val="en-US" w:eastAsia="zh-CN"/>
        </w:rPr>
      </w:pPr>
      <w:r>
        <w:fldChar w:fldCharType="begin"/>
      </w:r>
      <w:r>
        <w:instrText xml:space="preserve"> HYPERLINK \l "_Toc80884521" </w:instrText>
      </w:r>
      <w:r>
        <w:fldChar w:fldCharType="separate"/>
      </w:r>
      <w:r>
        <w:rPr>
          <w:rStyle w:val="45"/>
          <w:rFonts w:hint="eastAsia" w:ascii="宋体" w:hAnsi="宋体" w:eastAsia="宋体"/>
          <w:color w:val="auto"/>
          <w:sz w:val="24"/>
          <w:szCs w:val="24"/>
        </w:rPr>
        <w:t>第</w:t>
      </w:r>
      <w:r>
        <w:rPr>
          <w:rStyle w:val="45"/>
          <w:rFonts w:hint="eastAsia" w:ascii="宋体" w:hAnsi="宋体"/>
          <w:color w:val="auto"/>
          <w:sz w:val="24"/>
          <w:szCs w:val="24"/>
          <w:lang w:val="en-US" w:eastAsia="zh-CN"/>
        </w:rPr>
        <w:t>五</w:t>
      </w:r>
      <w:r>
        <w:rPr>
          <w:rStyle w:val="45"/>
          <w:rFonts w:hint="eastAsia" w:ascii="宋体" w:hAnsi="宋体" w:eastAsia="宋体"/>
          <w:color w:val="auto"/>
          <w:sz w:val="24"/>
          <w:szCs w:val="24"/>
        </w:rPr>
        <w:t>章</w:t>
      </w:r>
      <w:r>
        <w:rPr>
          <w:rStyle w:val="45"/>
          <w:rFonts w:ascii="宋体" w:hAnsi="宋体" w:eastAsia="宋体"/>
          <w:color w:val="auto"/>
          <w:sz w:val="24"/>
          <w:szCs w:val="24"/>
        </w:rPr>
        <w:t xml:space="preserve">  </w:t>
      </w:r>
      <w:r>
        <w:rPr>
          <w:rStyle w:val="45"/>
          <w:rFonts w:hint="eastAsia" w:ascii="宋体" w:hAnsi="宋体" w:eastAsia="宋体"/>
          <w:color w:val="auto"/>
          <w:sz w:val="24"/>
          <w:szCs w:val="24"/>
        </w:rPr>
        <w:t>合同条款及格式</w:t>
      </w:r>
      <w:r>
        <w:rPr>
          <w:rFonts w:ascii="宋体" w:hAnsi="宋体" w:eastAsia="宋体"/>
          <w:sz w:val="24"/>
          <w:szCs w:val="24"/>
        </w:rPr>
        <w:tab/>
      </w:r>
      <w:r>
        <w:rPr>
          <w:rFonts w:hint="eastAsia" w:ascii="宋体" w:hAnsi="宋体"/>
          <w:sz w:val="24"/>
          <w:szCs w:val="24"/>
          <w:lang w:val="en-US" w:eastAsia="zh-CN"/>
        </w:rPr>
        <w:t>3</w:t>
      </w:r>
      <w:r>
        <w:rPr>
          <w:rFonts w:ascii="宋体" w:hAnsi="宋体" w:eastAsia="宋体"/>
          <w:sz w:val="24"/>
          <w:szCs w:val="24"/>
        </w:rPr>
        <w:fldChar w:fldCharType="end"/>
      </w:r>
      <w:r>
        <w:rPr>
          <w:rFonts w:hint="eastAsia" w:ascii="宋体" w:hAnsi="宋体"/>
          <w:sz w:val="24"/>
          <w:szCs w:val="24"/>
          <w:lang w:val="en-US" w:eastAsia="zh-CN"/>
        </w:rPr>
        <w:t>2</w:t>
      </w:r>
    </w:p>
    <w:p w14:paraId="2B11CF25">
      <w:pPr>
        <w:pStyle w:val="28"/>
        <w:tabs>
          <w:tab w:val="right" w:leader="dot" w:pos="8630"/>
        </w:tabs>
        <w:spacing w:line="360" w:lineRule="auto"/>
        <w:rPr>
          <w:rFonts w:hint="eastAsia" w:ascii="宋体" w:hAnsi="宋体" w:eastAsia="宋体"/>
          <w:sz w:val="24"/>
          <w:szCs w:val="24"/>
          <w:lang w:val="en-US" w:eastAsia="zh-CN"/>
        </w:rPr>
      </w:pPr>
      <w:r>
        <w:fldChar w:fldCharType="begin"/>
      </w:r>
      <w:r>
        <w:instrText xml:space="preserve"> HYPERLINK \l "_Toc80884530" </w:instrText>
      </w:r>
      <w:r>
        <w:fldChar w:fldCharType="separate"/>
      </w:r>
      <w:r>
        <w:rPr>
          <w:rStyle w:val="45"/>
          <w:rFonts w:hint="eastAsia" w:ascii="宋体" w:hAnsi="宋体" w:eastAsia="宋体"/>
          <w:color w:val="auto"/>
          <w:sz w:val="24"/>
          <w:szCs w:val="24"/>
        </w:rPr>
        <w:t>第二卷</w:t>
      </w:r>
      <w:r>
        <w:rPr>
          <w:rFonts w:ascii="宋体" w:hAnsi="宋体" w:eastAsia="宋体"/>
          <w:sz w:val="24"/>
          <w:szCs w:val="24"/>
        </w:rPr>
        <w:tab/>
      </w:r>
      <w:r>
        <w:rPr>
          <w:rFonts w:hint="eastAsia" w:ascii="宋体" w:hAnsi="宋体"/>
          <w:sz w:val="24"/>
          <w:szCs w:val="24"/>
          <w:lang w:val="en-US" w:eastAsia="zh-CN"/>
        </w:rPr>
        <w:t>6</w:t>
      </w:r>
      <w:r>
        <w:rPr>
          <w:rFonts w:ascii="宋体" w:hAnsi="宋体" w:eastAsia="宋体"/>
          <w:sz w:val="24"/>
          <w:szCs w:val="24"/>
        </w:rPr>
        <w:fldChar w:fldCharType="end"/>
      </w:r>
      <w:r>
        <w:rPr>
          <w:rFonts w:hint="eastAsia" w:ascii="宋体" w:hAnsi="宋体"/>
          <w:sz w:val="24"/>
          <w:szCs w:val="24"/>
          <w:lang w:val="en-US" w:eastAsia="zh-CN"/>
        </w:rPr>
        <w:t>8</w:t>
      </w:r>
    </w:p>
    <w:p w14:paraId="149B1202">
      <w:pPr>
        <w:pStyle w:val="28"/>
        <w:tabs>
          <w:tab w:val="right" w:leader="dot" w:pos="8630"/>
        </w:tabs>
        <w:spacing w:line="360" w:lineRule="auto"/>
        <w:rPr>
          <w:rFonts w:hint="eastAsia" w:ascii="宋体" w:hAnsi="宋体" w:eastAsia="宋体" w:cs="宋体"/>
          <w:sz w:val="24"/>
          <w:szCs w:val="24"/>
          <w:lang w:val="en-US" w:eastAsia="zh-CN"/>
        </w:rPr>
      </w:pPr>
      <w:r>
        <w:fldChar w:fldCharType="begin"/>
      </w:r>
      <w:r>
        <w:instrText xml:space="preserve"> HYPERLINK \l "_Toc80884533" </w:instrText>
      </w:r>
      <w:r>
        <w:fldChar w:fldCharType="separate"/>
      </w:r>
      <w:r>
        <w:rPr>
          <w:rStyle w:val="45"/>
          <w:rFonts w:hint="eastAsia" w:ascii="宋体" w:hAnsi="宋体" w:eastAsia="宋体"/>
          <w:color w:val="auto"/>
          <w:sz w:val="24"/>
          <w:szCs w:val="24"/>
        </w:rPr>
        <w:t>第</w:t>
      </w:r>
      <w:r>
        <w:rPr>
          <w:rStyle w:val="45"/>
          <w:rFonts w:hint="eastAsia" w:ascii="宋体" w:hAnsi="宋体"/>
          <w:color w:val="auto"/>
          <w:sz w:val="24"/>
          <w:szCs w:val="24"/>
          <w:lang w:val="en-US" w:eastAsia="zh-CN"/>
        </w:rPr>
        <w:t>六</w:t>
      </w:r>
      <w:r>
        <w:rPr>
          <w:rStyle w:val="45"/>
          <w:rFonts w:hint="eastAsia" w:ascii="宋体" w:hAnsi="宋体" w:eastAsia="宋体"/>
          <w:color w:val="auto"/>
          <w:sz w:val="24"/>
          <w:szCs w:val="24"/>
        </w:rPr>
        <w:t>章</w:t>
      </w:r>
      <w:r>
        <w:rPr>
          <w:rStyle w:val="45"/>
          <w:rFonts w:ascii="宋体" w:hAnsi="宋体" w:eastAsia="宋体"/>
          <w:color w:val="auto"/>
          <w:sz w:val="24"/>
          <w:szCs w:val="24"/>
        </w:rPr>
        <w:t xml:space="preserve">  </w:t>
      </w:r>
      <w:r>
        <w:rPr>
          <w:rStyle w:val="45"/>
          <w:rFonts w:hint="eastAsia" w:ascii="宋体" w:hAnsi="宋体" w:eastAsia="宋体"/>
          <w:color w:val="auto"/>
          <w:sz w:val="24"/>
          <w:szCs w:val="24"/>
          <w:lang w:eastAsia="zh-CN"/>
        </w:rPr>
        <w:t>响应文件</w:t>
      </w:r>
      <w:r>
        <w:rPr>
          <w:rStyle w:val="45"/>
          <w:rFonts w:hint="eastAsia" w:ascii="宋体" w:hAnsi="宋体" w:eastAsia="宋体"/>
          <w:color w:val="auto"/>
          <w:sz w:val="24"/>
          <w:szCs w:val="24"/>
        </w:rPr>
        <w:t>格式</w:t>
      </w:r>
      <w:r>
        <w:rPr>
          <w:rFonts w:ascii="宋体" w:hAnsi="宋体" w:eastAsia="宋体"/>
          <w:sz w:val="24"/>
          <w:szCs w:val="24"/>
        </w:rPr>
        <w:tab/>
      </w:r>
      <w:r>
        <w:rPr>
          <w:rFonts w:hint="eastAsia" w:ascii="宋体" w:hAnsi="宋体"/>
          <w:sz w:val="24"/>
          <w:szCs w:val="24"/>
          <w:lang w:val="en-US" w:eastAsia="zh-CN"/>
        </w:rPr>
        <w:t>6</w:t>
      </w:r>
      <w:r>
        <w:rPr>
          <w:rFonts w:ascii="宋体" w:hAnsi="宋体" w:eastAsia="宋体"/>
          <w:sz w:val="24"/>
          <w:szCs w:val="24"/>
        </w:rPr>
        <w:fldChar w:fldCharType="end"/>
      </w:r>
      <w:r>
        <w:rPr>
          <w:rFonts w:hint="eastAsia" w:ascii="宋体" w:hAnsi="宋体"/>
          <w:sz w:val="24"/>
          <w:szCs w:val="24"/>
          <w:lang w:val="en-US" w:eastAsia="zh-CN"/>
        </w:rPr>
        <w:t>9</w:t>
      </w:r>
    </w:p>
    <w:p w14:paraId="23C4D0AF"/>
    <w:p w14:paraId="3A9C60F5">
      <w:pPr>
        <w:spacing w:line="360" w:lineRule="auto"/>
        <w:rPr>
          <w:rFonts w:ascii="宋体" w:hAnsi="宋体" w:eastAsia="宋体"/>
          <w:sz w:val="24"/>
          <w:szCs w:val="24"/>
        </w:rPr>
      </w:pPr>
      <w:r>
        <w:rPr>
          <w:rFonts w:hint="eastAsia" w:ascii="宋体" w:hAnsi="宋体" w:eastAsia="宋体" w:cs="宋体"/>
          <w:sz w:val="24"/>
          <w:szCs w:val="24"/>
        </w:rPr>
        <w:fldChar w:fldCharType="end"/>
      </w:r>
    </w:p>
    <w:p w14:paraId="6F621B3D">
      <w:pPr>
        <w:rPr>
          <w:rFonts w:ascii="Times New Roman" w:hAnsi="Times New Roman"/>
        </w:rPr>
        <w:sectPr>
          <w:pgSz w:w="12240" w:h="15840"/>
          <w:pgMar w:top="1440" w:right="1800" w:bottom="1440" w:left="1800" w:header="720" w:footer="720" w:gutter="0"/>
          <w:pgNumType w:start="1"/>
          <w:cols w:space="720" w:num="1"/>
          <w:docGrid w:linePitch="285" w:charSpace="0"/>
        </w:sectPr>
      </w:pPr>
    </w:p>
    <w:p w14:paraId="3699EEBA">
      <w:pPr>
        <w:pStyle w:val="3"/>
        <w:jc w:val="center"/>
      </w:pPr>
    </w:p>
    <w:p w14:paraId="79A14CAF">
      <w:pPr>
        <w:pStyle w:val="3"/>
        <w:jc w:val="center"/>
      </w:pPr>
      <w:bookmarkStart w:id="3" w:name="_Toc80884448"/>
      <w:bookmarkStart w:id="4" w:name="_Toc6748"/>
      <w:r>
        <w:rPr>
          <w:rFonts w:hint="eastAsia"/>
        </w:rPr>
        <w:t>第一卷</w:t>
      </w:r>
      <w:bookmarkEnd w:id="3"/>
      <w:bookmarkEnd w:id="4"/>
    </w:p>
    <w:p w14:paraId="7E404E4F">
      <w:pPr>
        <w:pStyle w:val="3"/>
        <w:jc w:val="center"/>
        <w:sectPr>
          <w:footerReference r:id="rId3" w:type="default"/>
          <w:pgSz w:w="12240" w:h="15840"/>
          <w:pgMar w:top="1440" w:right="1800" w:bottom="1440" w:left="1800" w:header="720" w:footer="720" w:gutter="0"/>
          <w:pgNumType w:fmt="decimal" w:start="1"/>
          <w:cols w:space="720" w:num="1"/>
          <w:docGrid w:linePitch="285" w:charSpace="0"/>
        </w:sectPr>
      </w:pPr>
    </w:p>
    <w:p w14:paraId="298C3815">
      <w:pPr>
        <w:pStyle w:val="3"/>
        <w:spacing w:line="240" w:lineRule="auto"/>
        <w:jc w:val="center"/>
        <w:sectPr>
          <w:type w:val="continuous"/>
          <w:pgSz w:w="12240" w:h="15840"/>
          <w:pgMar w:top="1440" w:right="1800" w:bottom="1440" w:left="1800" w:header="720" w:footer="720" w:gutter="0"/>
          <w:pgNumType w:fmt="decimal"/>
          <w:cols w:space="720" w:num="1"/>
          <w:docGrid w:linePitch="285" w:charSpace="0"/>
        </w:sectPr>
      </w:pPr>
    </w:p>
    <w:p w14:paraId="2FDCD542">
      <w:pPr>
        <w:pStyle w:val="3"/>
        <w:spacing w:line="240" w:lineRule="auto"/>
        <w:jc w:val="center"/>
        <w:rPr>
          <w:rFonts w:hint="eastAsia" w:eastAsia="宋体"/>
          <w:sz w:val="32"/>
          <w:szCs w:val="32"/>
          <w:lang w:eastAsia="zh-CN"/>
        </w:rPr>
      </w:pPr>
      <w:bookmarkStart w:id="5" w:name="_Toc80884449"/>
      <w:r>
        <w:rPr>
          <w:rFonts w:hint="eastAsia"/>
          <w:sz w:val="32"/>
          <w:szCs w:val="32"/>
        </w:rPr>
        <w:t xml:space="preserve">第一章  </w:t>
      </w:r>
      <w:bookmarkEnd w:id="5"/>
      <w:r>
        <w:rPr>
          <w:rFonts w:hint="eastAsia"/>
          <w:sz w:val="32"/>
          <w:szCs w:val="32"/>
          <w:lang w:eastAsia="zh-CN"/>
        </w:rPr>
        <w:t>竞争谈判</w:t>
      </w:r>
      <w:r>
        <w:rPr>
          <w:rFonts w:hint="eastAsia"/>
          <w:sz w:val="32"/>
          <w:szCs w:val="32"/>
          <w:lang w:val="en-US" w:eastAsia="zh-CN"/>
        </w:rPr>
        <w:t>公告</w:t>
      </w:r>
    </w:p>
    <w:bookmarkEnd w:id="0"/>
    <w:bookmarkEnd w:id="1"/>
    <w:bookmarkEnd w:id="2"/>
    <w:p w14:paraId="29F4ED49">
      <w:pPr>
        <w:autoSpaceDE w:val="0"/>
        <w:autoSpaceDN w:val="0"/>
        <w:adjustRightInd w:val="0"/>
        <w:snapToGrid w:val="0"/>
        <w:spacing w:line="360" w:lineRule="auto"/>
        <w:jc w:val="center"/>
        <w:rPr>
          <w:rFonts w:hint="eastAsia" w:ascii="宋体" w:hAnsi="宋体" w:eastAsia="宋体" w:cs="Times New Roman"/>
          <w:b/>
          <w:bCs/>
          <w:snapToGrid w:val="0"/>
          <w:color w:val="auto"/>
          <w:w w:val="99"/>
          <w:kern w:val="0"/>
          <w:sz w:val="28"/>
          <w:szCs w:val="28"/>
          <w:highlight w:val="none"/>
          <w:lang w:val="en-US" w:eastAsia="zh-CN"/>
        </w:rPr>
      </w:pPr>
      <w:r>
        <w:rPr>
          <w:rFonts w:hint="eastAsia" w:ascii="宋体" w:hAnsi="宋体" w:cs="Times New Roman"/>
          <w:b/>
          <w:bCs/>
          <w:snapToGrid w:val="0"/>
          <w:color w:val="auto"/>
          <w:w w:val="99"/>
          <w:kern w:val="0"/>
          <w:sz w:val="28"/>
          <w:szCs w:val="28"/>
          <w:highlight w:val="none"/>
          <w:lang w:val="en-US" w:eastAsia="zh-CN"/>
        </w:rPr>
        <w:t>山窝220千伏输变电工程10千伏并联电容器采购</w:t>
      </w:r>
    </w:p>
    <w:p w14:paraId="3E3B6F6D">
      <w:pPr>
        <w:autoSpaceDE w:val="0"/>
        <w:autoSpaceDN w:val="0"/>
        <w:adjustRightInd w:val="0"/>
        <w:snapToGrid w:val="0"/>
        <w:spacing w:line="360" w:lineRule="auto"/>
        <w:jc w:val="center"/>
        <w:rPr>
          <w:rFonts w:hint="eastAsia" w:ascii="宋体" w:hAnsi="宋体"/>
          <w:b/>
          <w:bCs/>
          <w:snapToGrid w:val="0"/>
          <w:color w:val="auto"/>
          <w:w w:val="99"/>
          <w:kern w:val="0"/>
          <w:sz w:val="28"/>
          <w:szCs w:val="28"/>
          <w:highlight w:val="none"/>
        </w:rPr>
      </w:pPr>
      <w:r>
        <w:rPr>
          <w:rFonts w:hint="eastAsia" w:ascii="宋体" w:hAnsi="宋体" w:cs="Times New Roman"/>
          <w:b/>
          <w:bCs/>
          <w:snapToGrid w:val="0"/>
          <w:color w:val="auto"/>
          <w:w w:val="99"/>
          <w:kern w:val="0"/>
          <w:sz w:val="28"/>
          <w:szCs w:val="28"/>
          <w:highlight w:val="none"/>
          <w:lang w:eastAsia="zh-CN"/>
        </w:rPr>
        <w:t>竞争谈判</w:t>
      </w:r>
      <w:r>
        <w:rPr>
          <w:rFonts w:hint="eastAsia" w:ascii="宋体" w:hAnsi="宋体"/>
          <w:b/>
          <w:bCs/>
          <w:snapToGrid w:val="0"/>
          <w:color w:val="auto"/>
          <w:w w:val="99"/>
          <w:kern w:val="0"/>
          <w:sz w:val="28"/>
          <w:szCs w:val="28"/>
          <w:highlight w:val="none"/>
        </w:rPr>
        <w:t>公告</w:t>
      </w:r>
    </w:p>
    <w:p w14:paraId="097F1993">
      <w:pPr>
        <w:pStyle w:val="4"/>
        <w:spacing w:before="0" w:after="0" w:line="360" w:lineRule="auto"/>
        <w:rPr>
          <w:rFonts w:ascii="宋体" w:hAnsi="宋体" w:cs="宋体"/>
          <w:snapToGrid w:val="0"/>
          <w:color w:val="auto"/>
          <w:sz w:val="21"/>
          <w:szCs w:val="21"/>
          <w:highlight w:val="none"/>
        </w:rPr>
      </w:pPr>
    </w:p>
    <w:p w14:paraId="5C1DADD3">
      <w:pPr>
        <w:tabs>
          <w:tab w:val="left" w:pos="2420"/>
          <w:tab w:val="left" w:pos="5445"/>
        </w:tabs>
        <w:adjustRightInd w:val="0"/>
        <w:snapToGrid w:val="0"/>
        <w:spacing w:line="360" w:lineRule="auto"/>
        <w:rPr>
          <w:rFonts w:hint="eastAsia" w:ascii="黑体" w:hAnsi="黑体" w:eastAsia="黑体" w:cs="黑体"/>
          <w:b/>
          <w:bCs/>
          <w:snapToGrid w:val="0"/>
          <w:color w:val="auto"/>
          <w:szCs w:val="21"/>
          <w:highlight w:val="none"/>
          <w:lang w:val="en-US" w:eastAsia="zh-CN"/>
        </w:rPr>
      </w:pPr>
      <w:r>
        <w:rPr>
          <w:rFonts w:hint="eastAsia" w:ascii="黑体" w:hAnsi="黑体" w:eastAsia="黑体" w:cs="黑体"/>
          <w:b/>
          <w:bCs/>
          <w:snapToGrid w:val="0"/>
          <w:color w:val="auto"/>
          <w:szCs w:val="21"/>
          <w:highlight w:val="none"/>
          <w:lang w:val="en-US" w:eastAsia="zh-CN"/>
        </w:rPr>
        <w:t>1.采购条件</w:t>
      </w:r>
    </w:p>
    <w:p w14:paraId="22AD6930">
      <w:pPr>
        <w:tabs>
          <w:tab w:val="left" w:pos="2420"/>
          <w:tab w:val="left" w:pos="5445"/>
        </w:tabs>
        <w:adjustRightInd w:val="0"/>
        <w:snapToGrid w:val="0"/>
        <w:spacing w:line="360" w:lineRule="auto"/>
        <w:ind w:firstLine="420"/>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本采购项目</w:t>
      </w:r>
      <w:r>
        <w:rPr>
          <w:rFonts w:hint="eastAsia" w:ascii="宋体" w:hAnsi="宋体" w:cs="宋体"/>
          <w:snapToGrid w:val="0"/>
          <w:color w:val="auto"/>
          <w:szCs w:val="21"/>
          <w:highlight w:val="none"/>
          <w:lang w:val="en-US" w:eastAsia="zh-CN"/>
        </w:rPr>
        <w:t>山窝220千伏输变电工程10千伏并联电容器采购</w:t>
      </w:r>
      <w:r>
        <w:rPr>
          <w:rFonts w:hint="eastAsia" w:ascii="宋体" w:hAnsi="宋体" w:eastAsia="宋体" w:cs="宋体"/>
          <w:snapToGrid w:val="0"/>
          <w:color w:val="auto"/>
          <w:szCs w:val="21"/>
          <w:highlight w:val="none"/>
          <w:lang w:val="en-US" w:eastAsia="zh-CN"/>
        </w:rPr>
        <w:t>，项目资金来自企业自筹资金，项目出资比例为100%，采购人为重庆涪陵聚龙电力有限公司。本项目已具备采购条件，现按</w:t>
      </w:r>
      <w:r>
        <w:rPr>
          <w:rFonts w:hint="eastAsia" w:ascii="宋体" w:hAnsi="宋体" w:cs="宋体"/>
          <w:snapToGrid w:val="0"/>
          <w:color w:val="auto"/>
          <w:szCs w:val="21"/>
          <w:highlight w:val="none"/>
          <w:lang w:val="en-US" w:eastAsia="zh-CN"/>
        </w:rPr>
        <w:t>竞争谈判</w:t>
      </w:r>
      <w:r>
        <w:rPr>
          <w:rFonts w:hint="eastAsia" w:ascii="宋体" w:hAnsi="宋体" w:eastAsia="宋体" w:cs="宋体"/>
          <w:snapToGrid w:val="0"/>
          <w:color w:val="auto"/>
          <w:szCs w:val="21"/>
          <w:highlight w:val="none"/>
          <w:lang w:val="en-US" w:eastAsia="zh-CN"/>
        </w:rPr>
        <w:t>方式进行采购。</w:t>
      </w:r>
    </w:p>
    <w:p w14:paraId="54E3DA65">
      <w:pPr>
        <w:tabs>
          <w:tab w:val="left" w:pos="2420"/>
          <w:tab w:val="left" w:pos="5445"/>
        </w:tabs>
        <w:adjustRightInd w:val="0"/>
        <w:snapToGrid w:val="0"/>
        <w:spacing w:line="360" w:lineRule="auto"/>
        <w:rPr>
          <w:rFonts w:hint="eastAsia" w:ascii="黑体" w:hAnsi="黑体" w:eastAsia="黑体" w:cs="黑体"/>
          <w:b/>
          <w:bCs/>
          <w:snapToGrid w:val="0"/>
          <w:color w:val="auto"/>
          <w:szCs w:val="21"/>
          <w:highlight w:val="none"/>
          <w:lang w:val="en-US" w:eastAsia="zh-CN"/>
        </w:rPr>
      </w:pPr>
      <w:bookmarkStart w:id="6" w:name="_Toc509218693"/>
      <w:bookmarkStart w:id="7" w:name="_Toc430530417"/>
      <w:bookmarkStart w:id="8" w:name="_Toc287607729"/>
      <w:bookmarkStart w:id="9" w:name="_Toc70086504"/>
      <w:bookmarkStart w:id="10" w:name="_Toc200359428"/>
      <w:bookmarkStart w:id="11" w:name="_Toc287620668"/>
      <w:bookmarkStart w:id="12" w:name="_Toc200359239"/>
      <w:bookmarkStart w:id="13" w:name="_Toc277082537"/>
      <w:bookmarkStart w:id="14" w:name="_Toc224103300"/>
      <w:r>
        <w:rPr>
          <w:rFonts w:hint="eastAsia" w:ascii="黑体" w:hAnsi="黑体" w:eastAsia="黑体" w:cs="黑体"/>
          <w:b/>
          <w:bCs/>
          <w:snapToGrid w:val="0"/>
          <w:color w:val="auto"/>
          <w:szCs w:val="21"/>
          <w:highlight w:val="none"/>
          <w:lang w:val="en-US" w:eastAsia="zh-CN"/>
        </w:rPr>
        <w:t>2.项目概况与服务范围</w:t>
      </w:r>
      <w:bookmarkEnd w:id="6"/>
      <w:bookmarkEnd w:id="7"/>
      <w:bookmarkEnd w:id="8"/>
      <w:bookmarkEnd w:id="9"/>
      <w:bookmarkEnd w:id="10"/>
      <w:bookmarkEnd w:id="11"/>
      <w:bookmarkEnd w:id="12"/>
      <w:bookmarkEnd w:id="13"/>
      <w:bookmarkEnd w:id="14"/>
    </w:p>
    <w:p w14:paraId="36EEC57F">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lang w:val="en-US" w:eastAsia="zh-CN"/>
        </w:rPr>
      </w:pPr>
      <w:bookmarkStart w:id="15" w:name="OLE_LINK2"/>
      <w:r>
        <w:rPr>
          <w:rFonts w:hint="eastAsia" w:ascii="宋体" w:hAnsi="宋体" w:cs="宋体"/>
          <w:snapToGrid w:val="0"/>
          <w:color w:val="auto"/>
          <w:szCs w:val="21"/>
          <w:highlight w:val="none"/>
          <w:lang w:val="en-US" w:eastAsia="zh-CN"/>
        </w:rPr>
        <w:t>2.1 项目概况与建设规模</w:t>
      </w:r>
    </w:p>
    <w:p w14:paraId="379B2B90">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lang w:val="en-US" w:eastAsia="zh-CN"/>
        </w:rPr>
      </w:pPr>
      <w:r>
        <w:rPr>
          <w:rFonts w:hint="default" w:ascii="宋体" w:hAnsi="宋体" w:eastAsia="宋体" w:cs="宋体"/>
          <w:snapToGrid w:val="0"/>
          <w:color w:val="0000FF"/>
          <w:kern w:val="0"/>
          <w:szCs w:val="21"/>
          <w:highlight w:val="none"/>
          <w:u w:val="none"/>
          <w:lang w:val="en-US" w:eastAsia="zh-CN"/>
        </w:rPr>
        <w:t>拟建山窝220千伏变电站一座位于重庆市涪陵白涛工业园区官桥村,占地面积约18亩。新建240MVA主变2台，220kV出线间隔10个，110kV出线间隔8个，10kV出线间隔24个</w:t>
      </w:r>
      <w:r>
        <w:rPr>
          <w:rFonts w:hint="eastAsia" w:ascii="宋体" w:hAnsi="宋体" w:eastAsia="宋体" w:cs="宋体"/>
          <w:snapToGrid w:val="0"/>
          <w:color w:val="0000FF"/>
          <w:kern w:val="0"/>
          <w:szCs w:val="21"/>
          <w:highlight w:val="none"/>
          <w:u w:val="none"/>
          <w:lang w:eastAsia="zh-CN"/>
        </w:rPr>
        <w:t>。</w:t>
      </w:r>
    </w:p>
    <w:p w14:paraId="66FC8D2A">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2.2 采购限价：</w:t>
      </w:r>
      <w:r>
        <w:rPr>
          <w:rFonts w:hint="eastAsia" w:ascii="宋体" w:hAnsi="宋体" w:eastAsia="宋体" w:cs="宋体"/>
          <w:snapToGrid w:val="0"/>
          <w:color w:val="0000FF"/>
          <w:kern w:val="0"/>
          <w:szCs w:val="21"/>
          <w:highlight w:val="none"/>
          <w:u w:val="none"/>
          <w:lang w:val="en-US" w:eastAsia="zh-CN"/>
        </w:rPr>
        <w:t>本次谈判最高限价：180万元（不含税）。</w:t>
      </w:r>
    </w:p>
    <w:p w14:paraId="39BC7FE2">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2.3 采购范围</w:t>
      </w:r>
    </w:p>
    <w:p w14:paraId="2D7E393B">
      <w:pPr>
        <w:tabs>
          <w:tab w:val="left" w:pos="2420"/>
          <w:tab w:val="left" w:pos="5445"/>
        </w:tabs>
        <w:adjustRightInd w:val="0"/>
        <w:snapToGrid w:val="0"/>
        <w:spacing w:line="360" w:lineRule="auto"/>
        <w:ind w:firstLine="420"/>
        <w:rPr>
          <w:rFonts w:hint="eastAsia" w:ascii="宋体" w:hAnsi="宋体" w:eastAsia="宋体" w:cs="宋体"/>
          <w:snapToGrid w:val="0"/>
          <w:color w:val="0000FF"/>
          <w:kern w:val="0"/>
          <w:szCs w:val="21"/>
          <w:highlight w:val="none"/>
          <w:u w:val="none"/>
          <w:lang w:val="en-US" w:eastAsia="zh-CN"/>
        </w:rPr>
      </w:pPr>
      <w:bookmarkStart w:id="16" w:name="OLE_LINK1"/>
      <w:r>
        <w:rPr>
          <w:rFonts w:hint="eastAsia" w:ascii="宋体" w:hAnsi="宋体" w:eastAsia="宋体" w:cs="宋体"/>
          <w:snapToGrid w:val="0"/>
          <w:color w:val="0000FF"/>
          <w:kern w:val="0"/>
          <w:szCs w:val="21"/>
          <w:highlight w:val="none"/>
          <w:u w:val="none"/>
          <w:lang w:val="en-US" w:eastAsia="zh-CN"/>
        </w:rPr>
        <w:t>本次招标范围包含10千伏并联电容器采购的设计、制造、试验、装配、包装、运输、交货、验收、保险、调试、现场培训以及售后服务等</w:t>
      </w:r>
      <w:bookmarkEnd w:id="16"/>
      <w:r>
        <w:rPr>
          <w:rFonts w:hint="eastAsia" w:ascii="宋体" w:hAnsi="宋体" w:cs="宋体"/>
          <w:snapToGrid w:val="0"/>
          <w:color w:val="0000FF"/>
          <w:kern w:val="0"/>
          <w:szCs w:val="21"/>
          <w:highlight w:val="none"/>
          <w:u w:val="none"/>
          <w:lang w:val="en-US" w:eastAsia="zh-CN"/>
        </w:rPr>
        <w:t>。</w:t>
      </w:r>
    </w:p>
    <w:bookmarkEnd w:id="15"/>
    <w:p w14:paraId="4F11EF82">
      <w:pPr>
        <w:widowControl/>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lang w:val="en-US" w:eastAsia="zh-CN"/>
        </w:rPr>
      </w:pPr>
      <w:bookmarkStart w:id="17" w:name="_Toc287620669"/>
      <w:bookmarkStart w:id="18" w:name="_Toc277082538"/>
      <w:bookmarkStart w:id="19" w:name="_Toc430530418"/>
      <w:bookmarkStart w:id="20" w:name="_Toc70086505"/>
      <w:bookmarkStart w:id="21" w:name="_Toc200359429"/>
      <w:bookmarkStart w:id="22" w:name="_Toc509218694"/>
      <w:bookmarkStart w:id="23" w:name="_Toc224103301"/>
      <w:bookmarkStart w:id="24" w:name="_Toc200359240"/>
      <w:bookmarkStart w:id="25" w:name="_Toc287607730"/>
      <w:r>
        <w:rPr>
          <w:rFonts w:hint="eastAsia" w:ascii="宋体" w:hAnsi="宋体"/>
          <w:snapToGrid w:val="0"/>
          <w:color w:val="auto"/>
          <w:kern w:val="0"/>
          <w:szCs w:val="21"/>
          <w:highlight w:val="none"/>
          <w:lang w:val="en-US" w:eastAsia="zh-CN"/>
        </w:rPr>
        <w:t>2.4 交货地点：</w:t>
      </w:r>
      <w:r>
        <w:rPr>
          <w:rFonts w:hint="eastAsia" w:ascii="宋体" w:hAnsi="宋体"/>
          <w:snapToGrid w:val="0"/>
          <w:color w:val="220BFB"/>
          <w:kern w:val="0"/>
          <w:szCs w:val="21"/>
          <w:highlight w:val="none"/>
          <w:lang w:val="en-US" w:eastAsia="zh-CN"/>
        </w:rPr>
        <w:t>重庆市涪陵区白涛街道</w:t>
      </w:r>
      <w:r>
        <w:rPr>
          <w:rFonts w:hint="default" w:ascii="宋体" w:hAnsi="宋体" w:eastAsia="宋体" w:cs="宋体"/>
          <w:snapToGrid w:val="0"/>
          <w:color w:val="220BFB"/>
          <w:kern w:val="0"/>
          <w:szCs w:val="21"/>
          <w:highlight w:val="none"/>
          <w:u w:val="none"/>
          <w:lang w:val="en-US" w:eastAsia="zh-CN"/>
        </w:rPr>
        <w:t>官桥</w:t>
      </w:r>
      <w:r>
        <w:rPr>
          <w:rFonts w:hint="eastAsia" w:ascii="宋体" w:hAnsi="宋体" w:cs="宋体"/>
          <w:snapToGrid w:val="0"/>
          <w:color w:val="220BFB"/>
          <w:kern w:val="0"/>
          <w:szCs w:val="21"/>
          <w:highlight w:val="none"/>
          <w:u w:val="none"/>
          <w:lang w:val="en-US" w:eastAsia="zh-CN"/>
        </w:rPr>
        <w:t>社区山窝</w:t>
      </w:r>
      <w:r>
        <w:rPr>
          <w:rFonts w:hint="eastAsia" w:ascii="宋体" w:hAnsi="宋体" w:eastAsia="宋体" w:cs="宋体"/>
          <w:snapToGrid w:val="0"/>
          <w:color w:val="220BFB"/>
          <w:kern w:val="0"/>
          <w:szCs w:val="21"/>
          <w:highlight w:val="none"/>
          <w:u w:val="none"/>
          <w:lang w:eastAsia="zh-CN"/>
        </w:rPr>
        <w:t>变电站</w:t>
      </w:r>
      <w:r>
        <w:rPr>
          <w:rFonts w:hint="eastAsia" w:ascii="宋体" w:hAnsi="宋体"/>
          <w:snapToGrid w:val="0"/>
          <w:color w:val="220BFB"/>
          <w:kern w:val="0"/>
          <w:szCs w:val="21"/>
          <w:highlight w:val="none"/>
          <w:lang w:val="en-US" w:eastAsia="zh-CN"/>
        </w:rPr>
        <w:t>。</w:t>
      </w:r>
    </w:p>
    <w:p w14:paraId="1FA1F480">
      <w:pPr>
        <w:tabs>
          <w:tab w:val="left" w:pos="3840"/>
          <w:tab w:val="left" w:pos="5300"/>
        </w:tabs>
        <w:autoSpaceDE w:val="0"/>
        <w:autoSpaceDN w:val="0"/>
        <w:adjustRightInd w:val="0"/>
        <w:snapToGrid w:val="0"/>
        <w:spacing w:line="460" w:lineRule="exact"/>
        <w:ind w:firstLine="420" w:firstLineChars="200"/>
        <w:jc w:val="left"/>
        <w:rPr>
          <w:rFonts w:hint="default" w:ascii="宋体" w:hAnsi="宋体" w:eastAsia="宋体"/>
          <w:snapToGrid w:val="0"/>
          <w:color w:val="FF0000"/>
          <w:kern w:val="0"/>
          <w:szCs w:val="21"/>
          <w:highlight w:val="none"/>
          <w:lang w:val="en-US" w:eastAsia="zh-CN"/>
        </w:rPr>
      </w:pPr>
      <w:r>
        <w:rPr>
          <w:rFonts w:hint="eastAsia" w:ascii="宋体" w:hAnsi="宋体"/>
          <w:snapToGrid w:val="0"/>
          <w:color w:val="auto"/>
          <w:kern w:val="0"/>
          <w:szCs w:val="21"/>
          <w:highlight w:val="none"/>
        </w:rPr>
        <w:t>2.</w:t>
      </w: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rPr>
        <w:t xml:space="preserve"> </w:t>
      </w:r>
      <w:bookmarkStart w:id="26" w:name="_Hlk64626254"/>
      <w:r>
        <w:rPr>
          <w:rFonts w:hint="eastAsia" w:ascii="宋体" w:hAnsi="宋体"/>
          <w:snapToGrid w:val="0"/>
          <w:color w:val="auto"/>
          <w:kern w:val="0"/>
          <w:szCs w:val="21"/>
          <w:highlight w:val="none"/>
          <w:lang w:val="en-US" w:eastAsia="zh-CN"/>
        </w:rPr>
        <w:t>计划交货期</w:t>
      </w:r>
      <w:r>
        <w:rPr>
          <w:rFonts w:hint="eastAsia" w:ascii="宋体" w:hAnsi="宋体"/>
          <w:snapToGrid w:val="0"/>
          <w:color w:val="auto"/>
          <w:kern w:val="0"/>
          <w:szCs w:val="21"/>
          <w:highlight w:val="none"/>
        </w:rPr>
        <w:t>：</w:t>
      </w:r>
      <w:r>
        <w:rPr>
          <w:rFonts w:hint="eastAsia" w:ascii="宋体" w:hAnsi="宋体"/>
          <w:snapToGrid w:val="0"/>
          <w:color w:val="220BFB"/>
          <w:kern w:val="0"/>
          <w:szCs w:val="21"/>
          <w:highlight w:val="none"/>
          <w:lang w:val="en-US" w:eastAsia="zh-CN"/>
        </w:rPr>
        <w:t>2025年10月30日前货到现场（具体交货时间以甲方通知为准）。</w:t>
      </w:r>
    </w:p>
    <w:bookmarkEnd w:id="26"/>
    <w:p w14:paraId="651D955E">
      <w:pPr>
        <w:tabs>
          <w:tab w:val="left" w:pos="2420"/>
          <w:tab w:val="left" w:pos="5445"/>
        </w:tabs>
        <w:adjustRightInd w:val="0"/>
        <w:snapToGrid w:val="0"/>
        <w:spacing w:line="360" w:lineRule="auto"/>
        <w:rPr>
          <w:rFonts w:hint="eastAsia" w:ascii="黑体" w:hAnsi="黑体" w:eastAsia="黑体" w:cs="黑体"/>
          <w:b/>
          <w:bCs/>
          <w:snapToGrid w:val="0"/>
          <w:color w:val="auto"/>
          <w:szCs w:val="21"/>
          <w:highlight w:val="none"/>
          <w:lang w:val="en-US" w:eastAsia="zh-CN"/>
        </w:rPr>
      </w:pPr>
      <w:r>
        <w:rPr>
          <w:rFonts w:hint="eastAsia" w:ascii="黑体" w:hAnsi="黑体" w:eastAsia="黑体" w:cs="黑体"/>
          <w:b/>
          <w:bCs/>
          <w:snapToGrid w:val="0"/>
          <w:color w:val="auto"/>
          <w:szCs w:val="21"/>
          <w:highlight w:val="none"/>
          <w:lang w:val="en-US" w:eastAsia="zh-CN"/>
        </w:rPr>
        <w:t>3.供应商资格要求</w:t>
      </w:r>
      <w:bookmarkEnd w:id="17"/>
      <w:bookmarkEnd w:id="18"/>
      <w:bookmarkEnd w:id="19"/>
      <w:bookmarkEnd w:id="20"/>
      <w:bookmarkEnd w:id="21"/>
      <w:bookmarkEnd w:id="22"/>
      <w:bookmarkEnd w:id="23"/>
      <w:bookmarkEnd w:id="24"/>
      <w:bookmarkEnd w:id="25"/>
    </w:p>
    <w:p w14:paraId="0E3BAF1A">
      <w:pPr>
        <w:autoSpaceDE w:val="0"/>
        <w:autoSpaceDN w:val="0"/>
        <w:adjustRightInd w:val="0"/>
        <w:snapToGrid w:val="0"/>
        <w:spacing w:line="400" w:lineRule="exact"/>
        <w:ind w:firstLine="420" w:firstLineChars="200"/>
        <w:rPr>
          <w:rFonts w:hint="eastAsia" w:ascii="宋体" w:hAnsi="宋体"/>
          <w:snapToGrid w:val="0"/>
          <w:color w:val="auto"/>
          <w:kern w:val="0"/>
          <w:szCs w:val="21"/>
          <w:highlight w:val="none"/>
        </w:rPr>
      </w:pPr>
      <w:bookmarkStart w:id="27" w:name="_Toc287620670"/>
      <w:bookmarkStart w:id="28" w:name="_Toc430530419"/>
      <w:bookmarkStart w:id="29" w:name="_Toc70086506"/>
      <w:bookmarkStart w:id="30" w:name="_Toc509218695"/>
      <w:bookmarkStart w:id="31" w:name="_Toc277082539"/>
      <w:bookmarkStart w:id="32" w:name="_Toc224103302"/>
      <w:bookmarkStart w:id="33" w:name="_Toc287607731"/>
      <w:bookmarkStart w:id="34" w:name="_Toc200359241"/>
      <w:bookmarkStart w:id="35" w:name="_Toc200359430"/>
      <w:r>
        <w:rPr>
          <w:rFonts w:hint="eastAsia" w:ascii="宋体" w:hAnsi="宋体"/>
          <w:snapToGrid w:val="0"/>
          <w:color w:val="auto"/>
          <w:kern w:val="0"/>
          <w:szCs w:val="21"/>
          <w:highlight w:val="none"/>
        </w:rPr>
        <w:t>3.1 本次招标允许投标人以投标货物的下列身份参加投标：</w:t>
      </w:r>
    </w:p>
    <w:p w14:paraId="6F9FBE11">
      <w:pPr>
        <w:autoSpaceDE w:val="0"/>
        <w:autoSpaceDN w:val="0"/>
        <w:adjustRightInd w:val="0"/>
        <w:snapToGrid w:val="0"/>
        <w:spacing w:line="400" w:lineRule="exact"/>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（1）制造商</w:t>
      </w:r>
    </w:p>
    <w:p w14:paraId="4168DE09">
      <w:pPr>
        <w:autoSpaceDE w:val="0"/>
        <w:autoSpaceDN w:val="0"/>
        <w:adjustRightInd w:val="0"/>
        <w:snapToGrid w:val="0"/>
        <w:spacing w:line="400" w:lineRule="exact"/>
        <w:ind w:firstLine="420" w:firstLineChars="200"/>
        <w:rPr>
          <w:rFonts w:hint="eastAsia" w:ascii="宋体" w:hAnsi="宋体"/>
          <w:snapToGrid w:val="0"/>
          <w:color w:val="auto"/>
          <w:kern w:val="0"/>
          <w:szCs w:val="21"/>
          <w:highlight w:val="none"/>
          <w:lang w:val="en-US" w:eastAsia="zh-CN"/>
        </w:rPr>
      </w:pPr>
      <w:r>
        <w:rPr>
          <w:rFonts w:hint="eastAsia" w:ascii="宋体" w:hAnsi="宋体"/>
          <w:snapToGrid w:val="0"/>
          <w:color w:val="auto"/>
          <w:kern w:val="0"/>
          <w:szCs w:val="21"/>
          <w:highlight w:val="none"/>
          <w:lang w:val="en-US" w:eastAsia="zh-CN"/>
        </w:rPr>
        <w:t>3.1.1 投标人为制造商应符合以下要求：</w:t>
      </w:r>
    </w:p>
    <w:p w14:paraId="56A641F5">
      <w:pPr>
        <w:autoSpaceDE w:val="0"/>
        <w:autoSpaceDN w:val="0"/>
        <w:adjustRightInd w:val="0"/>
        <w:snapToGrid w:val="0"/>
        <w:spacing w:line="400" w:lineRule="exact"/>
        <w:ind w:firstLine="420" w:firstLineChars="200"/>
        <w:rPr>
          <w:rFonts w:hint="eastAsia" w:ascii="宋体" w:hAnsi="宋体"/>
          <w:snapToGrid w:val="0"/>
          <w:color w:val="auto"/>
          <w:kern w:val="0"/>
          <w:szCs w:val="21"/>
          <w:highlight w:val="none"/>
          <w:lang w:val="en-US" w:eastAsia="zh-CN"/>
        </w:rPr>
      </w:pPr>
      <w:r>
        <w:rPr>
          <w:rFonts w:hint="eastAsia" w:ascii="宋体" w:hAnsi="宋体"/>
          <w:snapToGrid w:val="0"/>
          <w:color w:val="auto"/>
          <w:kern w:val="0"/>
          <w:szCs w:val="21"/>
          <w:highlight w:val="none"/>
          <w:lang w:val="en-US" w:eastAsia="zh-CN"/>
        </w:rPr>
        <w:t>（1）具备有效的营业执照；</w:t>
      </w:r>
    </w:p>
    <w:p w14:paraId="1F6BD720">
      <w:pPr>
        <w:autoSpaceDE w:val="0"/>
        <w:autoSpaceDN w:val="0"/>
        <w:adjustRightInd w:val="0"/>
        <w:snapToGrid w:val="0"/>
        <w:spacing w:line="400" w:lineRule="exact"/>
        <w:ind w:firstLine="420" w:firstLineChars="200"/>
        <w:rPr>
          <w:rFonts w:hint="eastAsia" w:ascii="宋体" w:hAnsi="宋体"/>
          <w:snapToGrid w:val="0"/>
          <w:color w:val="auto"/>
          <w:kern w:val="0"/>
          <w:szCs w:val="21"/>
          <w:highlight w:val="none"/>
          <w:lang w:val="en-US" w:eastAsia="zh-CN"/>
        </w:rPr>
      </w:pPr>
      <w:r>
        <w:rPr>
          <w:rFonts w:hint="eastAsia" w:ascii="宋体" w:hAnsi="宋体"/>
          <w:snapToGrid w:val="0"/>
          <w:color w:val="auto"/>
          <w:kern w:val="0"/>
          <w:szCs w:val="21"/>
          <w:highlight w:val="none"/>
          <w:lang w:val="en-US" w:eastAsia="zh-CN"/>
        </w:rPr>
        <w:t>（2）</w:t>
      </w:r>
      <w:r>
        <w:rPr>
          <w:rFonts w:hint="eastAsia" w:ascii="宋体" w:hAnsi="宋体"/>
          <w:snapToGrid w:val="0"/>
          <w:color w:val="auto"/>
          <w:kern w:val="0"/>
          <w:szCs w:val="21"/>
          <w:highlight w:val="none"/>
        </w:rPr>
        <w:t>具备有效的产品性能检测合格报告或产品质量检测报告</w:t>
      </w:r>
      <w:r>
        <w:rPr>
          <w:rFonts w:hint="eastAsia" w:ascii="宋体" w:hAnsi="宋体"/>
          <w:snapToGrid w:val="0"/>
          <w:color w:val="auto"/>
          <w:kern w:val="0"/>
          <w:szCs w:val="21"/>
          <w:highlight w:val="none"/>
          <w:lang w:eastAsia="zh-CN"/>
        </w:rPr>
        <w:t>。</w:t>
      </w:r>
    </w:p>
    <w:p w14:paraId="707B9DCD">
      <w:pPr>
        <w:autoSpaceDE w:val="0"/>
        <w:autoSpaceDN w:val="0"/>
        <w:adjustRightInd w:val="0"/>
        <w:snapToGrid w:val="0"/>
        <w:spacing w:line="400" w:lineRule="exact"/>
        <w:ind w:firstLine="420" w:firstLineChars="20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 xml:space="preserve"> </w:t>
      </w:r>
      <w:r>
        <w:rPr>
          <w:rFonts w:hint="eastAsia" w:ascii="宋体" w:hAnsi="宋体"/>
          <w:snapToGrid w:val="0"/>
          <w:color w:val="auto"/>
          <w:kern w:val="0"/>
          <w:szCs w:val="21"/>
          <w:highlight w:val="none"/>
        </w:rPr>
        <w:t>3.</w:t>
      </w:r>
      <w:r>
        <w:rPr>
          <w:rFonts w:hint="eastAsia" w:ascii="宋体" w:hAnsi="宋体"/>
          <w:snapToGrid w:val="0"/>
          <w:color w:val="auto"/>
          <w:kern w:val="0"/>
          <w:szCs w:val="21"/>
          <w:highlight w:val="none"/>
          <w:lang w:val="en-US" w:eastAsia="zh-CN"/>
        </w:rPr>
        <w:t>2</w:t>
      </w:r>
      <w:r>
        <w:rPr>
          <w:rFonts w:hint="eastAsia" w:ascii="宋体" w:hAnsi="宋体"/>
          <w:snapToGrid w:val="0"/>
          <w:color w:val="auto"/>
          <w:kern w:val="0"/>
          <w:szCs w:val="21"/>
          <w:highlight w:val="none"/>
        </w:rPr>
        <w:t xml:space="preserve"> </w:t>
      </w:r>
      <w:r>
        <w:rPr>
          <w:rFonts w:hint="eastAsia" w:ascii="宋体" w:hAnsi="宋体"/>
          <w:snapToGrid w:val="0"/>
          <w:color w:val="auto"/>
          <w:kern w:val="0"/>
          <w:szCs w:val="21"/>
          <w:highlight w:val="none"/>
          <w:lang w:val="en-US" w:eastAsia="zh-CN"/>
        </w:rPr>
        <w:t xml:space="preserve"> </w:t>
      </w:r>
      <w:r>
        <w:rPr>
          <w:rFonts w:hint="eastAsia" w:ascii="宋体" w:hAnsi="宋体"/>
          <w:snapToGrid w:val="0"/>
          <w:color w:val="auto"/>
          <w:kern w:val="0"/>
          <w:szCs w:val="21"/>
          <w:highlight w:val="none"/>
        </w:rPr>
        <w:t>投标人还应在业绩、资金</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人员</w:t>
      </w:r>
      <w:r>
        <w:rPr>
          <w:rFonts w:hint="eastAsia" w:ascii="宋体" w:hAnsi="宋体"/>
          <w:snapToGrid w:val="0"/>
          <w:color w:val="auto"/>
          <w:kern w:val="0"/>
          <w:szCs w:val="21"/>
          <w:highlight w:val="none"/>
        </w:rPr>
        <w:t>等方面具有相应的</w:t>
      </w:r>
      <w:r>
        <w:rPr>
          <w:rFonts w:hint="eastAsia" w:ascii="宋体" w:hAnsi="宋体"/>
          <w:snapToGrid w:val="0"/>
          <w:color w:val="auto"/>
          <w:kern w:val="0"/>
          <w:szCs w:val="21"/>
          <w:highlight w:val="none"/>
          <w:lang w:val="en-US" w:eastAsia="zh-CN"/>
        </w:rPr>
        <w:t>供货</w:t>
      </w:r>
      <w:r>
        <w:rPr>
          <w:rFonts w:hint="eastAsia" w:ascii="宋体" w:hAnsi="宋体"/>
          <w:snapToGrid w:val="0"/>
          <w:color w:val="auto"/>
          <w:kern w:val="0"/>
          <w:szCs w:val="21"/>
          <w:highlight w:val="none"/>
        </w:rPr>
        <w:t>能力，详见</w:t>
      </w:r>
      <w:r>
        <w:rPr>
          <w:rFonts w:hint="eastAsia" w:ascii="宋体" w:hAnsi="宋体"/>
          <w:snapToGrid w:val="0"/>
          <w:color w:val="auto"/>
          <w:kern w:val="0"/>
          <w:szCs w:val="21"/>
          <w:highlight w:val="none"/>
          <w:lang w:val="en-US" w:eastAsia="zh-CN"/>
        </w:rPr>
        <w:t>竞争谈判</w:t>
      </w:r>
      <w:r>
        <w:rPr>
          <w:rFonts w:hint="eastAsia" w:ascii="宋体" w:hAnsi="宋体"/>
          <w:snapToGrid w:val="0"/>
          <w:color w:val="auto"/>
          <w:kern w:val="0"/>
          <w:szCs w:val="21"/>
          <w:highlight w:val="none"/>
        </w:rPr>
        <w:t>文件第二章投标人须知前附表第1.4.1项内容。</w:t>
      </w:r>
    </w:p>
    <w:p w14:paraId="0B1D8E8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w:t>
      </w:r>
      <w:r>
        <w:rPr>
          <w:rFonts w:hint="eastAsia" w:ascii="宋体" w:hAnsi="宋体"/>
          <w:snapToGrid w:val="0"/>
          <w:color w:val="auto"/>
          <w:kern w:val="0"/>
          <w:szCs w:val="21"/>
          <w:highlight w:val="none"/>
          <w:lang w:val="en-US" w:eastAsia="zh-CN"/>
        </w:rPr>
        <w:t>3</w:t>
      </w:r>
      <w:r>
        <w:rPr>
          <w:rFonts w:hint="eastAsia" w:ascii="宋体" w:hAnsi="宋体"/>
          <w:snapToGrid w:val="0"/>
          <w:color w:val="auto"/>
          <w:kern w:val="0"/>
          <w:szCs w:val="21"/>
          <w:highlight w:val="none"/>
        </w:rPr>
        <w:t xml:space="preserve">  本</w:t>
      </w:r>
      <w:r>
        <w:rPr>
          <w:rFonts w:ascii="宋体" w:hAnsi="宋体"/>
          <w:snapToGrid w:val="0"/>
          <w:color w:val="auto"/>
          <w:kern w:val="0"/>
          <w:szCs w:val="21"/>
          <w:highlight w:val="none"/>
        </w:rPr>
        <w:t>次招标</w:t>
      </w:r>
      <w:r>
        <w:rPr>
          <w:rFonts w:hint="eastAsia" w:ascii="宋体" w:hAnsi="宋体"/>
          <w:snapToGrid w:val="0"/>
          <w:color w:val="auto"/>
          <w:kern w:val="0"/>
          <w:szCs w:val="21"/>
          <w:highlight w:val="none"/>
        </w:rPr>
        <w:t>不接受</w:t>
      </w:r>
      <w:r>
        <w:rPr>
          <w:rFonts w:ascii="宋体" w:hAnsi="宋体"/>
          <w:snapToGrid w:val="0"/>
          <w:color w:val="auto"/>
          <w:kern w:val="0"/>
          <w:szCs w:val="21"/>
          <w:highlight w:val="none"/>
        </w:rPr>
        <w:t>联合体投标。</w:t>
      </w:r>
    </w:p>
    <w:bookmarkEnd w:id="27"/>
    <w:bookmarkEnd w:id="28"/>
    <w:bookmarkEnd w:id="29"/>
    <w:bookmarkEnd w:id="30"/>
    <w:bookmarkEnd w:id="31"/>
    <w:bookmarkEnd w:id="32"/>
    <w:bookmarkEnd w:id="33"/>
    <w:bookmarkEnd w:id="34"/>
    <w:bookmarkEnd w:id="35"/>
    <w:p w14:paraId="6FDC7A8F">
      <w:pPr>
        <w:tabs>
          <w:tab w:val="left" w:pos="2420"/>
          <w:tab w:val="left" w:pos="5445"/>
        </w:tabs>
        <w:adjustRightInd w:val="0"/>
        <w:snapToGrid w:val="0"/>
        <w:spacing w:line="360" w:lineRule="auto"/>
        <w:rPr>
          <w:rFonts w:hint="default" w:ascii="黑体" w:hAnsi="黑体" w:eastAsia="黑体" w:cs="黑体"/>
          <w:b/>
          <w:bCs/>
          <w:snapToGrid w:val="0"/>
          <w:color w:val="auto"/>
          <w:szCs w:val="21"/>
          <w:highlight w:val="none"/>
          <w:lang w:val="en-US" w:eastAsia="zh-CN"/>
        </w:rPr>
      </w:pPr>
      <w:bookmarkStart w:id="36" w:name="_Toc509218696"/>
      <w:bookmarkStart w:id="37" w:name="_Toc287620671"/>
      <w:bookmarkStart w:id="38" w:name="_Toc224103303"/>
      <w:bookmarkStart w:id="39" w:name="_Toc277082540"/>
      <w:bookmarkStart w:id="40" w:name="_Toc70086507"/>
      <w:bookmarkStart w:id="41" w:name="_Toc200359431"/>
      <w:bookmarkStart w:id="42" w:name="_Toc430530420"/>
      <w:bookmarkStart w:id="43" w:name="_Toc287607732"/>
      <w:bookmarkStart w:id="44" w:name="_Toc200359242"/>
      <w:r>
        <w:rPr>
          <w:rFonts w:hint="eastAsia" w:ascii="黑体" w:hAnsi="黑体" w:eastAsia="黑体" w:cs="黑体"/>
          <w:b/>
          <w:bCs/>
          <w:snapToGrid w:val="0"/>
          <w:color w:val="auto"/>
          <w:szCs w:val="21"/>
          <w:highlight w:val="none"/>
          <w:lang w:val="en-US" w:eastAsia="zh-CN"/>
        </w:rPr>
        <w:t>4.报名及答疑澄清</w:t>
      </w:r>
    </w:p>
    <w:p w14:paraId="4461AB7C">
      <w:pPr>
        <w:tabs>
          <w:tab w:val="left" w:pos="2420"/>
          <w:tab w:val="left" w:pos="5445"/>
        </w:tabs>
        <w:adjustRightInd w:val="0"/>
        <w:snapToGrid w:val="0"/>
        <w:spacing w:line="360" w:lineRule="auto"/>
        <w:ind w:firstLine="420" w:firstLineChars="200"/>
        <w:rPr>
          <w:rFonts w:hint="eastAsia" w:ascii="宋体" w:hAnsi="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 xml:space="preserve">4.1 </w:t>
      </w:r>
      <w:r>
        <w:rPr>
          <w:rFonts w:hint="eastAsia" w:ascii="宋体" w:hAnsi="宋体"/>
          <w:color w:val="auto"/>
          <w:kern w:val="2"/>
          <w:sz w:val="21"/>
          <w:szCs w:val="22"/>
          <w:highlight w:val="none"/>
        </w:rPr>
        <w:t>凡有意参加谈判者，请通过电子邮件将供应商提供加盖单位公章的授权委托书、报名表(注明项目名称、联系人电话)发送至</w:t>
      </w:r>
      <w:r>
        <w:rPr>
          <w:rFonts w:hint="eastAsia" w:ascii="宋体" w:hAnsi="宋体" w:cs="宋体"/>
          <w:snapToGrid w:val="0"/>
          <w:color w:val="0000FF"/>
          <w:szCs w:val="21"/>
          <w:highlight w:val="none"/>
          <w:lang w:val="en-US" w:eastAsia="zh-CN"/>
        </w:rPr>
        <w:fldChar w:fldCharType="begin"/>
      </w:r>
      <w:r>
        <w:rPr>
          <w:rFonts w:hint="eastAsia" w:ascii="宋体" w:hAnsi="宋体" w:cs="宋体"/>
          <w:snapToGrid w:val="0"/>
          <w:color w:val="0000FF"/>
          <w:szCs w:val="21"/>
          <w:highlight w:val="none"/>
          <w:lang w:val="en-US" w:eastAsia="zh-CN"/>
        </w:rPr>
        <w:instrText xml:space="preserve"> HYPERLINK "javascript:;" </w:instrText>
      </w:r>
      <w:r>
        <w:rPr>
          <w:rFonts w:hint="eastAsia" w:ascii="宋体" w:hAnsi="宋体" w:cs="宋体"/>
          <w:snapToGrid w:val="0"/>
          <w:color w:val="0000FF"/>
          <w:szCs w:val="21"/>
          <w:highlight w:val="none"/>
          <w:lang w:val="en-US" w:eastAsia="zh-CN"/>
        </w:rPr>
        <w:fldChar w:fldCharType="separate"/>
      </w:r>
      <w:r>
        <w:rPr>
          <w:rFonts w:hint="eastAsia" w:ascii="宋体" w:hAnsi="宋体" w:cs="宋体"/>
          <w:snapToGrid w:val="0"/>
          <w:color w:val="0000FF"/>
          <w:szCs w:val="21"/>
          <w:highlight w:val="none"/>
          <w:lang w:val="en-US" w:eastAsia="zh-CN"/>
        </w:rPr>
        <w:t>hu_yu@cqsxsl.com</w:t>
      </w:r>
      <w:r>
        <w:rPr>
          <w:rFonts w:hint="eastAsia" w:ascii="宋体" w:hAnsi="宋体" w:cs="宋体"/>
          <w:snapToGrid w:val="0"/>
          <w:color w:val="0000FF"/>
          <w:szCs w:val="21"/>
          <w:highlight w:val="none"/>
          <w:lang w:val="en-US" w:eastAsia="zh-CN"/>
        </w:rPr>
        <w:fldChar w:fldCharType="end"/>
      </w:r>
      <w:r>
        <w:rPr>
          <w:rFonts w:hint="eastAsia" w:ascii="宋体" w:hAnsi="宋体"/>
          <w:color w:val="auto"/>
          <w:kern w:val="2"/>
          <w:sz w:val="21"/>
          <w:szCs w:val="22"/>
          <w:highlight w:val="none"/>
        </w:rPr>
        <w:t>邮箱报名。</w:t>
      </w:r>
      <w:r>
        <w:rPr>
          <w:rFonts w:hint="eastAsia" w:ascii="宋体" w:hAnsi="宋体"/>
          <w:color w:val="auto"/>
          <w:kern w:val="2"/>
          <w:sz w:val="21"/>
          <w:szCs w:val="22"/>
          <w:highlight w:val="none"/>
          <w:lang w:val="en-US" w:eastAsia="zh-CN"/>
        </w:rPr>
        <w:t>报名截止时间：</w:t>
      </w:r>
      <w:r>
        <w:rPr>
          <w:rFonts w:hint="eastAsia" w:ascii="宋体" w:hAnsi="宋体"/>
          <w:color w:val="auto"/>
          <w:kern w:val="2"/>
          <w:sz w:val="21"/>
          <w:szCs w:val="22"/>
          <w:highlight w:val="yellow"/>
          <w:lang w:val="en-US" w:eastAsia="zh-CN"/>
        </w:rPr>
        <w:t>2</w:t>
      </w:r>
      <w:r>
        <w:rPr>
          <w:rFonts w:hint="eastAsia" w:ascii="宋体" w:hAnsi="宋体" w:cs="宋体"/>
          <w:snapToGrid w:val="0"/>
          <w:color w:val="auto"/>
          <w:szCs w:val="21"/>
          <w:highlight w:val="yellow"/>
          <w:lang w:val="en-US" w:eastAsia="zh-CN"/>
        </w:rPr>
        <w:t>025年7月4日17 时 30分（北京时间）</w:t>
      </w:r>
      <w:r>
        <w:rPr>
          <w:rFonts w:hint="eastAsia" w:ascii="宋体" w:hAnsi="宋体" w:cs="宋体"/>
          <w:snapToGrid w:val="0"/>
          <w:color w:val="auto"/>
          <w:szCs w:val="21"/>
          <w:highlight w:val="none"/>
          <w:lang w:val="en-US" w:eastAsia="zh-CN"/>
        </w:rPr>
        <w:t>前。</w:t>
      </w:r>
    </w:p>
    <w:p w14:paraId="4EFFE377">
      <w:pPr>
        <w:tabs>
          <w:tab w:val="left" w:pos="2420"/>
          <w:tab w:val="left" w:pos="5445"/>
        </w:tabs>
        <w:adjustRightInd w:val="0"/>
        <w:snapToGrid w:val="0"/>
        <w:spacing w:line="360" w:lineRule="auto"/>
        <w:ind w:firstLine="420" w:firstLineChars="200"/>
        <w:rPr>
          <w:rFonts w:hint="eastAsia" w:ascii="宋体" w:hAnsi="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 xml:space="preserve"> 4.2 供应商如有疑问，可通过电子邮件方式提出，提问时间至</w:t>
      </w:r>
      <w:r>
        <w:rPr>
          <w:rFonts w:hint="eastAsia" w:ascii="宋体" w:hAnsi="宋体" w:cs="宋体"/>
          <w:snapToGrid w:val="0"/>
          <w:color w:val="auto"/>
          <w:szCs w:val="21"/>
          <w:highlight w:val="yellow"/>
          <w:lang w:val="en-US" w:eastAsia="zh-CN"/>
        </w:rPr>
        <w:t xml:space="preserve"> 2025年7月4日 17时30分（北京时间）前。</w:t>
      </w:r>
      <w:r>
        <w:rPr>
          <w:rFonts w:hint="eastAsia" w:ascii="宋体" w:hAnsi="宋体" w:cs="宋体"/>
          <w:snapToGrid w:val="0"/>
          <w:color w:val="auto"/>
          <w:szCs w:val="21"/>
          <w:highlight w:val="none"/>
          <w:lang w:val="en-US" w:eastAsia="zh-CN"/>
        </w:rPr>
        <w:t xml:space="preserve"> </w:t>
      </w:r>
    </w:p>
    <w:p w14:paraId="3247BC0B">
      <w:pPr>
        <w:tabs>
          <w:tab w:val="left" w:pos="2420"/>
          <w:tab w:val="left" w:pos="5445"/>
        </w:tabs>
        <w:adjustRightInd w:val="0"/>
        <w:snapToGrid w:val="0"/>
        <w:spacing w:line="360" w:lineRule="auto"/>
        <w:ind w:firstLine="420"/>
        <w:rPr>
          <w:rFonts w:hint="default" w:ascii="宋体" w:hAnsi="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4.3 采购人应于</w:t>
      </w:r>
      <w:r>
        <w:rPr>
          <w:rFonts w:hint="eastAsia" w:ascii="宋体" w:hAnsi="宋体" w:cs="宋体"/>
          <w:snapToGrid w:val="0"/>
          <w:color w:val="auto"/>
          <w:szCs w:val="21"/>
          <w:highlight w:val="yellow"/>
          <w:lang w:val="en-US" w:eastAsia="zh-CN"/>
        </w:rPr>
        <w:t>2025年7月7日17 时 30分（北京时间）</w:t>
      </w:r>
      <w:r>
        <w:rPr>
          <w:rFonts w:hint="eastAsia" w:ascii="宋体" w:hAnsi="宋体" w:cs="宋体"/>
          <w:snapToGrid w:val="0"/>
          <w:color w:val="auto"/>
          <w:szCs w:val="21"/>
          <w:highlight w:val="none"/>
          <w:lang w:val="en-US" w:eastAsia="zh-CN"/>
        </w:rPr>
        <w:t>前在通过电子邮件方式发布澄清至提问邮箱中。</w:t>
      </w:r>
    </w:p>
    <w:p w14:paraId="6A4B4586">
      <w:pPr>
        <w:tabs>
          <w:tab w:val="left" w:pos="2420"/>
          <w:tab w:val="left" w:pos="5445"/>
        </w:tabs>
        <w:adjustRightInd w:val="0"/>
        <w:snapToGrid w:val="0"/>
        <w:spacing w:line="360" w:lineRule="auto"/>
        <w:rPr>
          <w:rFonts w:hint="eastAsia" w:ascii="黑体" w:hAnsi="黑体" w:eastAsia="黑体" w:cs="黑体"/>
          <w:b/>
          <w:bCs/>
          <w:snapToGrid w:val="0"/>
          <w:color w:val="auto"/>
          <w:szCs w:val="21"/>
          <w:highlight w:val="none"/>
          <w:lang w:val="en-US" w:eastAsia="zh-CN"/>
        </w:rPr>
      </w:pPr>
      <w:r>
        <w:rPr>
          <w:rFonts w:hint="eastAsia" w:ascii="黑体" w:hAnsi="黑体" w:eastAsia="黑体" w:cs="黑体"/>
          <w:b/>
          <w:bCs/>
          <w:snapToGrid w:val="0"/>
          <w:color w:val="auto"/>
          <w:szCs w:val="21"/>
          <w:highlight w:val="none"/>
          <w:lang w:val="en-US" w:eastAsia="zh-CN"/>
        </w:rPr>
        <w:t>5.响应文件的递交</w:t>
      </w:r>
      <w:bookmarkEnd w:id="36"/>
      <w:bookmarkEnd w:id="37"/>
      <w:bookmarkEnd w:id="38"/>
      <w:bookmarkEnd w:id="39"/>
      <w:bookmarkEnd w:id="40"/>
      <w:bookmarkEnd w:id="41"/>
      <w:bookmarkEnd w:id="42"/>
      <w:bookmarkEnd w:id="43"/>
      <w:bookmarkEnd w:id="44"/>
    </w:p>
    <w:p w14:paraId="724B1109">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lang w:val="en-US" w:eastAsia="zh-CN"/>
        </w:rPr>
      </w:pPr>
      <w:bookmarkStart w:id="45" w:name="OLE_LINK23"/>
      <w:r>
        <w:rPr>
          <w:rFonts w:hint="eastAsia" w:ascii="宋体" w:hAnsi="宋体" w:cs="宋体"/>
          <w:snapToGrid w:val="0"/>
          <w:color w:val="auto"/>
          <w:szCs w:val="21"/>
          <w:highlight w:val="none"/>
          <w:lang w:val="en-US" w:eastAsia="zh-CN"/>
        </w:rPr>
        <w:t>5.1 本项目响应文件递交方式采用现场递交。</w:t>
      </w:r>
    </w:p>
    <w:p w14:paraId="532461F3">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rPr>
      </w:pPr>
      <w:r>
        <w:rPr>
          <w:rFonts w:hint="eastAsia" w:ascii="宋体" w:hAnsi="宋体" w:cs="宋体"/>
          <w:snapToGrid w:val="0"/>
          <w:color w:val="auto"/>
          <w:szCs w:val="21"/>
          <w:highlight w:val="none"/>
          <w:lang w:val="en-US" w:eastAsia="zh-CN"/>
        </w:rPr>
        <w:t xml:space="preserve">5.2 递交响应文件截止时间和谈判时间为 </w:t>
      </w:r>
      <w:r>
        <w:rPr>
          <w:rFonts w:hint="eastAsia" w:ascii="宋体" w:hAnsi="宋体" w:cs="宋体"/>
          <w:snapToGrid w:val="0"/>
          <w:color w:val="auto"/>
          <w:szCs w:val="21"/>
          <w:highlight w:val="yellow"/>
          <w:lang w:val="en-US" w:eastAsia="zh-CN"/>
        </w:rPr>
        <w:t>2025年7月10日9时30分（北京时间）</w:t>
      </w:r>
      <w:r>
        <w:rPr>
          <w:rFonts w:hint="eastAsia" w:ascii="宋体" w:hAnsi="宋体" w:cs="宋体"/>
          <w:snapToGrid w:val="0"/>
          <w:color w:val="auto"/>
          <w:szCs w:val="21"/>
          <w:highlight w:val="none"/>
          <w:lang w:val="en-US" w:eastAsia="zh-CN"/>
        </w:rPr>
        <w:t xml:space="preserve">，各供应商应按时递交响应文件，逾期送达或未按要求送达的响应文件，不予受理。 </w:t>
      </w:r>
    </w:p>
    <w:p w14:paraId="41D824A8">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rPr>
      </w:pPr>
      <w:r>
        <w:rPr>
          <w:rFonts w:hint="eastAsia" w:ascii="宋体" w:hAnsi="宋体" w:cs="宋体"/>
          <w:snapToGrid w:val="0"/>
          <w:color w:val="auto"/>
          <w:szCs w:val="21"/>
          <w:highlight w:val="none"/>
          <w:lang w:val="en-US" w:eastAsia="zh-CN"/>
        </w:rPr>
        <w:t xml:space="preserve">响应文件要求及注意事项： </w:t>
      </w:r>
    </w:p>
    <w:p w14:paraId="3FAE86E0">
      <w:pPr>
        <w:tabs>
          <w:tab w:val="left" w:pos="2420"/>
          <w:tab w:val="left" w:pos="5445"/>
        </w:tabs>
        <w:adjustRightInd w:val="0"/>
        <w:snapToGrid w:val="0"/>
        <w:spacing w:line="360" w:lineRule="auto"/>
        <w:ind w:firstLine="420"/>
        <w:rPr>
          <w:rFonts w:hint="eastAsia" w:ascii="宋体" w:hAnsi="宋体" w:eastAsia="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（1）供应商须现场递</w:t>
      </w:r>
      <w:r>
        <w:rPr>
          <w:rFonts w:hint="eastAsia" w:ascii="宋体" w:hAnsi="宋体" w:eastAsia="宋体" w:cs="宋体"/>
          <w:snapToGrid w:val="0"/>
          <w:color w:val="auto"/>
          <w:szCs w:val="21"/>
          <w:highlight w:val="none"/>
          <w:lang w:val="en-US" w:eastAsia="zh-CN"/>
        </w:rPr>
        <w:t>交响应文件，供应商</w:t>
      </w:r>
      <w:r>
        <w:rPr>
          <w:rFonts w:hint="default" w:ascii="宋体" w:hAnsi="宋体" w:eastAsia="宋体" w:cs="宋体"/>
          <w:snapToGrid w:val="0"/>
          <w:color w:val="auto"/>
          <w:szCs w:val="21"/>
          <w:highlight w:val="none"/>
          <w:lang w:val="en-US" w:eastAsia="zh-CN"/>
        </w:rPr>
        <w:t>法人代表或一名授权代表出席开标仪式，出席的授权代表需携带一份单独的法人授权书及本人身份证明</w:t>
      </w:r>
      <w:r>
        <w:rPr>
          <w:rFonts w:hint="eastAsia" w:ascii="宋体" w:hAnsi="宋体" w:eastAsia="宋体" w:cs="宋体"/>
          <w:snapToGrid w:val="0"/>
          <w:color w:val="auto"/>
          <w:szCs w:val="21"/>
          <w:highlight w:val="none"/>
          <w:lang w:val="en-US" w:eastAsia="zh-CN"/>
        </w:rPr>
        <w:t>。</w:t>
      </w:r>
    </w:p>
    <w:p w14:paraId="5F2FD109">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rPr>
      </w:pPr>
      <w:r>
        <w:rPr>
          <w:rFonts w:hint="eastAsia" w:ascii="宋体" w:hAnsi="宋体" w:cs="宋体"/>
          <w:snapToGrid w:val="0"/>
          <w:color w:val="auto"/>
          <w:szCs w:val="21"/>
          <w:highlight w:val="none"/>
          <w:lang w:val="en-US" w:eastAsia="zh-CN"/>
        </w:rPr>
        <w:t xml:space="preserve">（2）供应商的响应文件须按谈判文件要求进行密封，因供应商自身原因导致响应文件的密封不符合采购文件要求，采购人有权拒绝接收响应文件。 </w:t>
      </w:r>
    </w:p>
    <w:bookmarkEnd w:id="45"/>
    <w:p w14:paraId="140A4473">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5.3 谈判地点（响应文件递交地点）： 重庆市涪陵区李渡鹤凤大道19号品鉴硅谷园十栋417室。</w:t>
      </w:r>
    </w:p>
    <w:p w14:paraId="6A6C765A">
      <w:pPr>
        <w:tabs>
          <w:tab w:val="left" w:pos="2420"/>
          <w:tab w:val="left" w:pos="5445"/>
        </w:tabs>
        <w:adjustRightInd w:val="0"/>
        <w:snapToGrid w:val="0"/>
        <w:spacing w:line="360" w:lineRule="auto"/>
        <w:rPr>
          <w:rFonts w:hint="eastAsia" w:ascii="黑体" w:hAnsi="黑体" w:eastAsia="黑体" w:cs="黑体"/>
          <w:b/>
          <w:bCs/>
          <w:snapToGrid w:val="0"/>
          <w:color w:val="auto"/>
          <w:szCs w:val="21"/>
          <w:highlight w:val="none"/>
          <w:lang w:val="en-US" w:eastAsia="zh-CN"/>
        </w:rPr>
      </w:pPr>
      <w:r>
        <w:rPr>
          <w:rFonts w:hint="eastAsia" w:ascii="黑体" w:hAnsi="黑体" w:eastAsia="黑体" w:cs="黑体"/>
          <w:b/>
          <w:bCs/>
          <w:snapToGrid w:val="0"/>
          <w:color w:val="auto"/>
          <w:szCs w:val="21"/>
          <w:highlight w:val="none"/>
          <w:lang w:val="en-US" w:eastAsia="zh-CN"/>
        </w:rPr>
        <w:t>6.联系方式</w:t>
      </w:r>
    </w:p>
    <w:p w14:paraId="616F56BB">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 xml:space="preserve">采   购   人：重庆涪陵聚龙电力有限公司 </w:t>
      </w:r>
    </w:p>
    <w:p w14:paraId="3A5E274D">
      <w:pPr>
        <w:tabs>
          <w:tab w:val="left" w:pos="2420"/>
          <w:tab w:val="left" w:pos="5445"/>
        </w:tabs>
        <w:adjustRightInd w:val="0"/>
        <w:snapToGrid w:val="0"/>
        <w:spacing w:line="360" w:lineRule="auto"/>
        <w:ind w:firstLine="420"/>
        <w:rPr>
          <w:rFonts w:hint="eastAsia" w:ascii="宋体" w:hAnsi="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地        址：重庆市涪陵区李渡鹤凤大道19号品鉴硅谷园</w:t>
      </w:r>
    </w:p>
    <w:p w14:paraId="3213254D">
      <w:pPr>
        <w:tabs>
          <w:tab w:val="left" w:pos="2420"/>
          <w:tab w:val="left" w:pos="5445"/>
        </w:tabs>
        <w:adjustRightInd w:val="0"/>
        <w:snapToGrid w:val="0"/>
        <w:spacing w:line="360" w:lineRule="auto"/>
        <w:ind w:firstLine="420"/>
        <w:rPr>
          <w:rFonts w:hint="default" w:ascii="宋体" w:hAnsi="宋体" w:eastAsia="宋体" w:cs="宋体"/>
          <w:snapToGrid w:val="0"/>
          <w:color w:val="auto"/>
          <w:szCs w:val="21"/>
          <w:highlight w:val="none"/>
          <w:lang w:val="en-US" w:eastAsia="zh-CN"/>
        </w:rPr>
      </w:pPr>
      <w:r>
        <w:rPr>
          <w:rFonts w:hint="eastAsia" w:ascii="宋体" w:hAnsi="宋体" w:cs="宋体"/>
          <w:snapToGrid w:val="0"/>
          <w:color w:val="auto"/>
          <w:szCs w:val="21"/>
          <w:highlight w:val="none"/>
          <w:lang w:val="en-US" w:eastAsia="zh-CN"/>
        </w:rPr>
        <w:t>联   系   人：胡老师</w:t>
      </w:r>
    </w:p>
    <w:p w14:paraId="7E6991E0">
      <w:pPr>
        <w:tabs>
          <w:tab w:val="left" w:pos="2420"/>
          <w:tab w:val="left" w:pos="5445"/>
        </w:tabs>
        <w:adjustRightInd w:val="0"/>
        <w:snapToGrid w:val="0"/>
        <w:spacing w:line="360" w:lineRule="auto"/>
        <w:ind w:firstLine="420"/>
        <w:rPr>
          <w:rFonts w:hint="default" w:ascii="宋体" w:hAnsi="宋体" w:eastAsia="宋体" w:cs="宋体"/>
          <w:snapToGrid w:val="0"/>
          <w:color w:val="auto"/>
          <w:kern w:val="0"/>
          <w:szCs w:val="21"/>
          <w:highlight w:val="none"/>
          <w:lang w:val="en-US" w:eastAsia="zh-CN"/>
        </w:rPr>
      </w:pPr>
      <w:r>
        <w:rPr>
          <w:rFonts w:hint="eastAsia" w:ascii="宋体" w:hAnsi="宋体" w:cs="宋体"/>
          <w:snapToGrid w:val="0"/>
          <w:color w:val="auto"/>
          <w:szCs w:val="21"/>
          <w:highlight w:val="none"/>
          <w:lang w:val="en-US" w:eastAsia="zh-CN"/>
        </w:rPr>
        <w:t>电        话：19923183614</w:t>
      </w:r>
    </w:p>
    <w:p w14:paraId="3E45B7A3">
      <w:pPr>
        <w:adjustRightInd w:val="0"/>
        <w:snapToGrid w:val="0"/>
        <w:spacing w:line="360" w:lineRule="auto"/>
        <w:ind w:firstLine="420" w:firstLineChars="200"/>
        <w:jc w:val="left"/>
        <w:rPr>
          <w:kern w:val="0"/>
          <w:szCs w:val="21"/>
        </w:rPr>
      </w:pPr>
      <w:r>
        <w:rPr>
          <w:kern w:val="0"/>
          <w:szCs w:val="21"/>
        </w:rPr>
        <w:t xml:space="preserve">                                                 </w:t>
      </w:r>
    </w:p>
    <w:p w14:paraId="398B21ED">
      <w:pPr>
        <w:widowControl/>
        <w:jc w:val="left"/>
        <w:rPr>
          <w:rFonts w:ascii="Times New Roman" w:hAnsi="Times New Roman"/>
          <w:b/>
          <w:kern w:val="44"/>
          <w:sz w:val="44"/>
          <w:szCs w:val="20"/>
        </w:rPr>
      </w:pPr>
      <w:bookmarkStart w:id="46" w:name="_Toc384308203"/>
      <w:bookmarkEnd w:id="46"/>
      <w:bookmarkStart w:id="47" w:name="_Toc152045523"/>
      <w:bookmarkEnd w:id="47"/>
      <w:bookmarkStart w:id="48" w:name="_Toc352691469"/>
      <w:bookmarkEnd w:id="48"/>
      <w:bookmarkStart w:id="49" w:name="_Toc300834943"/>
      <w:bookmarkEnd w:id="49"/>
      <w:bookmarkStart w:id="50" w:name="_Toc300834941"/>
      <w:bookmarkEnd w:id="50"/>
      <w:bookmarkStart w:id="51" w:name="_Toc144974493"/>
      <w:bookmarkEnd w:id="51"/>
      <w:bookmarkStart w:id="52" w:name="_Toc369531509"/>
      <w:bookmarkEnd w:id="52"/>
      <w:bookmarkStart w:id="53" w:name="_Toc369531511"/>
      <w:bookmarkEnd w:id="53"/>
      <w:bookmarkStart w:id="54" w:name="_Toc352691467"/>
      <w:bookmarkEnd w:id="54"/>
      <w:bookmarkStart w:id="55" w:name="_Toc144974491"/>
      <w:bookmarkEnd w:id="55"/>
      <w:bookmarkStart w:id="56" w:name="_Toc19794"/>
      <w:bookmarkEnd w:id="56"/>
      <w:bookmarkStart w:id="57" w:name="_Toc152045525"/>
      <w:bookmarkEnd w:id="57"/>
      <w:bookmarkStart w:id="58" w:name="_Toc152042299"/>
      <w:bookmarkEnd w:id="58"/>
      <w:bookmarkStart w:id="59" w:name="_Toc384308205"/>
      <w:bookmarkEnd w:id="59"/>
      <w:bookmarkStart w:id="60" w:name="_Toc247527549"/>
      <w:bookmarkEnd w:id="60"/>
      <w:bookmarkStart w:id="61" w:name="_Toc247527547"/>
      <w:bookmarkEnd w:id="61"/>
      <w:bookmarkStart w:id="62" w:name="_Toc247513946"/>
      <w:bookmarkEnd w:id="62"/>
      <w:bookmarkStart w:id="63" w:name="_Toc361508580"/>
      <w:bookmarkEnd w:id="63"/>
      <w:bookmarkStart w:id="64" w:name="_Toc361508578"/>
      <w:bookmarkEnd w:id="64"/>
      <w:bookmarkStart w:id="65" w:name="_Toc152042301"/>
      <w:bookmarkEnd w:id="65"/>
      <w:bookmarkStart w:id="66" w:name="_Toc14865"/>
      <w:bookmarkEnd w:id="66"/>
      <w:bookmarkStart w:id="67" w:name="_Toc247513948"/>
      <w:bookmarkEnd w:id="67"/>
      <w:r>
        <w:br w:type="page"/>
      </w:r>
    </w:p>
    <w:p w14:paraId="0328C320">
      <w:pPr>
        <w:pStyle w:val="3"/>
        <w:numPr>
          <w:ilvl w:val="0"/>
          <w:numId w:val="1"/>
        </w:numPr>
        <w:spacing w:before="0" w:after="0" w:line="360" w:lineRule="auto"/>
        <w:jc w:val="center"/>
      </w:pPr>
      <w:r>
        <w:rPr>
          <w:rFonts w:hint="eastAsia"/>
        </w:rPr>
        <w:t xml:space="preserve"> </w:t>
      </w:r>
      <w:bookmarkStart w:id="68" w:name="_Toc80884450"/>
      <w:r>
        <w:rPr>
          <w:rFonts w:hint="eastAsia"/>
        </w:rPr>
        <w:t>供应商须知</w:t>
      </w:r>
      <w:bookmarkEnd w:id="68"/>
    </w:p>
    <w:p w14:paraId="6FDF7633">
      <w:pPr>
        <w:pStyle w:val="3"/>
        <w:spacing w:before="0" w:after="0" w:line="360" w:lineRule="auto"/>
        <w:jc w:val="center"/>
        <w:rPr>
          <w:sz w:val="30"/>
          <w:szCs w:val="30"/>
        </w:rPr>
      </w:pPr>
      <w:bookmarkStart w:id="69" w:name="_Toc74125879"/>
      <w:bookmarkStart w:id="70" w:name="_Toc30055"/>
      <w:bookmarkStart w:id="71" w:name="_Toc2322"/>
      <w:bookmarkStart w:id="72" w:name="_Toc80884451"/>
      <w:bookmarkStart w:id="73" w:name="_Toc13186"/>
      <w:r>
        <w:rPr>
          <w:rFonts w:hint="eastAsia"/>
          <w:sz w:val="30"/>
          <w:szCs w:val="30"/>
        </w:rPr>
        <w:t>供应商须知前附表</w:t>
      </w:r>
      <w:bookmarkEnd w:id="69"/>
      <w:bookmarkEnd w:id="70"/>
      <w:bookmarkEnd w:id="71"/>
      <w:bookmarkEnd w:id="72"/>
      <w:bookmarkEnd w:id="73"/>
    </w:p>
    <w:tbl>
      <w:tblPr>
        <w:tblStyle w:val="40"/>
        <w:tblW w:w="9600" w:type="dxa"/>
        <w:tblInd w:w="-96" w:type="dxa"/>
        <w:tblLayout w:type="fixed"/>
        <w:tblCellMar>
          <w:top w:w="0" w:type="dxa"/>
          <w:left w:w="108" w:type="dxa"/>
          <w:bottom w:w="0" w:type="dxa"/>
          <w:right w:w="108" w:type="dxa"/>
        </w:tblCellMar>
      </w:tblPr>
      <w:tblGrid>
        <w:gridCol w:w="1200"/>
        <w:gridCol w:w="2583"/>
        <w:gridCol w:w="5817"/>
      </w:tblGrid>
      <w:tr w14:paraId="22438AC3">
        <w:tblPrEx>
          <w:tblCellMar>
            <w:top w:w="0" w:type="dxa"/>
            <w:left w:w="108" w:type="dxa"/>
            <w:bottom w:w="0" w:type="dxa"/>
            <w:right w:w="108" w:type="dxa"/>
          </w:tblCellMar>
        </w:tblPrEx>
        <w:trPr>
          <w:trHeight w:val="454" w:hRule="atLeast"/>
          <w:tblHeader/>
        </w:trPr>
        <w:tc>
          <w:tcPr>
            <w:tcW w:w="1200" w:type="dxa"/>
            <w:tcBorders>
              <w:top w:val="single" w:color="auto" w:sz="4" w:space="0"/>
              <w:left w:val="single" w:color="auto" w:sz="4" w:space="0"/>
              <w:bottom w:val="single" w:color="auto" w:sz="4" w:space="0"/>
              <w:right w:val="single" w:color="auto" w:sz="4" w:space="0"/>
            </w:tcBorders>
            <w:vAlign w:val="center"/>
          </w:tcPr>
          <w:p w14:paraId="57DAB85C">
            <w:pPr>
              <w:spacing w:line="360" w:lineRule="exact"/>
              <w:jc w:val="center"/>
              <w:rPr>
                <w:rFonts w:hint="eastAsia" w:ascii="宋体" w:hAnsi="宋体" w:eastAsia="宋体" w:cs="宋体"/>
                <w:b/>
                <w:szCs w:val="21"/>
              </w:rPr>
            </w:pPr>
            <w:r>
              <w:rPr>
                <w:rFonts w:hint="eastAsia" w:ascii="宋体" w:hAnsi="宋体" w:eastAsia="宋体" w:cs="宋体"/>
                <w:b/>
                <w:szCs w:val="21"/>
              </w:rPr>
              <w:t>条款号</w:t>
            </w:r>
          </w:p>
        </w:tc>
        <w:tc>
          <w:tcPr>
            <w:tcW w:w="2583" w:type="dxa"/>
            <w:tcBorders>
              <w:top w:val="single" w:color="auto" w:sz="4" w:space="0"/>
              <w:left w:val="single" w:color="auto" w:sz="4" w:space="0"/>
              <w:bottom w:val="single" w:color="auto" w:sz="4" w:space="0"/>
              <w:right w:val="single" w:color="auto" w:sz="4" w:space="0"/>
            </w:tcBorders>
            <w:vAlign w:val="center"/>
          </w:tcPr>
          <w:p w14:paraId="1307F9CC">
            <w:pPr>
              <w:spacing w:line="360" w:lineRule="exact"/>
              <w:jc w:val="center"/>
              <w:rPr>
                <w:rFonts w:hint="eastAsia" w:ascii="宋体" w:hAnsi="宋体" w:eastAsia="宋体" w:cs="宋体"/>
                <w:b/>
                <w:szCs w:val="21"/>
              </w:rPr>
            </w:pPr>
            <w:r>
              <w:rPr>
                <w:rFonts w:hint="eastAsia" w:ascii="宋体" w:hAnsi="宋体" w:eastAsia="宋体" w:cs="宋体"/>
                <w:b/>
                <w:szCs w:val="21"/>
              </w:rPr>
              <w:t>条款名称</w:t>
            </w:r>
          </w:p>
        </w:tc>
        <w:tc>
          <w:tcPr>
            <w:tcW w:w="5817" w:type="dxa"/>
            <w:tcBorders>
              <w:top w:val="single" w:color="auto" w:sz="4" w:space="0"/>
              <w:left w:val="single" w:color="auto" w:sz="4" w:space="0"/>
              <w:bottom w:val="single" w:color="auto" w:sz="4" w:space="0"/>
              <w:right w:val="single" w:color="auto" w:sz="4" w:space="0"/>
            </w:tcBorders>
            <w:vAlign w:val="center"/>
          </w:tcPr>
          <w:p w14:paraId="56A2599E">
            <w:pPr>
              <w:spacing w:line="360" w:lineRule="exact"/>
              <w:jc w:val="center"/>
              <w:rPr>
                <w:rFonts w:hint="eastAsia" w:ascii="宋体" w:hAnsi="宋体" w:eastAsia="宋体" w:cs="宋体"/>
                <w:b/>
                <w:szCs w:val="21"/>
              </w:rPr>
            </w:pPr>
            <w:r>
              <w:rPr>
                <w:rFonts w:hint="eastAsia" w:ascii="宋体" w:hAnsi="宋体" w:eastAsia="宋体" w:cs="宋体"/>
                <w:b/>
                <w:szCs w:val="21"/>
              </w:rPr>
              <w:t>编列内容</w:t>
            </w:r>
          </w:p>
        </w:tc>
      </w:tr>
      <w:tr w14:paraId="2514A85E">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C3154EC">
            <w:pPr>
              <w:spacing w:line="360" w:lineRule="exact"/>
              <w:jc w:val="center"/>
              <w:rPr>
                <w:rFonts w:hint="eastAsia" w:ascii="宋体" w:hAnsi="宋体" w:eastAsia="宋体" w:cs="宋体"/>
                <w:szCs w:val="21"/>
              </w:rPr>
            </w:pPr>
            <w:r>
              <w:rPr>
                <w:rFonts w:hint="eastAsia" w:ascii="宋体" w:hAnsi="宋体" w:eastAsia="宋体" w:cs="宋体"/>
                <w:szCs w:val="21"/>
              </w:rPr>
              <w:t>1.1.2</w:t>
            </w:r>
          </w:p>
        </w:tc>
        <w:tc>
          <w:tcPr>
            <w:tcW w:w="2583" w:type="dxa"/>
            <w:tcBorders>
              <w:top w:val="single" w:color="auto" w:sz="4" w:space="0"/>
              <w:left w:val="single" w:color="auto" w:sz="4" w:space="0"/>
              <w:bottom w:val="single" w:color="auto" w:sz="4" w:space="0"/>
              <w:right w:val="single" w:color="auto" w:sz="4" w:space="0"/>
            </w:tcBorders>
            <w:vAlign w:val="center"/>
          </w:tcPr>
          <w:p w14:paraId="64A38660">
            <w:pPr>
              <w:spacing w:line="360" w:lineRule="exact"/>
              <w:jc w:val="center"/>
              <w:rPr>
                <w:rFonts w:hint="eastAsia" w:ascii="宋体" w:hAnsi="宋体" w:eastAsia="宋体" w:cs="宋体"/>
                <w:szCs w:val="21"/>
              </w:rPr>
            </w:pPr>
            <w:r>
              <w:rPr>
                <w:rFonts w:hint="eastAsia" w:ascii="宋体" w:hAnsi="宋体" w:eastAsia="宋体" w:cs="宋体"/>
                <w:szCs w:val="21"/>
              </w:rPr>
              <w:t>采购人</w:t>
            </w:r>
          </w:p>
        </w:tc>
        <w:tc>
          <w:tcPr>
            <w:tcW w:w="5817" w:type="dxa"/>
            <w:tcBorders>
              <w:top w:val="single" w:color="auto" w:sz="4" w:space="0"/>
              <w:left w:val="single" w:color="auto" w:sz="4" w:space="0"/>
              <w:bottom w:val="single" w:color="auto" w:sz="4" w:space="0"/>
              <w:right w:val="single" w:color="auto" w:sz="4" w:space="0"/>
            </w:tcBorders>
            <w:vAlign w:val="center"/>
          </w:tcPr>
          <w:p w14:paraId="2DFD7EE4">
            <w:pPr>
              <w:adjustRightInd w:val="0"/>
              <w:snapToGrid w:val="0"/>
              <w:spacing w:line="360" w:lineRule="exact"/>
              <w:rPr>
                <w:rFonts w:hint="eastAsia" w:ascii="宋体" w:hAnsi="宋体" w:eastAsia="宋体" w:cs="宋体"/>
                <w:color w:val="auto"/>
                <w:kern w:val="0"/>
                <w:szCs w:val="21"/>
              </w:rPr>
            </w:pPr>
            <w:r>
              <w:rPr>
                <w:rFonts w:hint="eastAsia" w:ascii="宋体" w:hAnsi="宋体" w:eastAsia="宋体" w:cs="宋体"/>
                <w:color w:val="auto"/>
                <w:kern w:val="0"/>
                <w:szCs w:val="21"/>
              </w:rPr>
              <w:t>名  称：重庆涪陵聚龙电力有限公司</w:t>
            </w:r>
          </w:p>
          <w:p w14:paraId="4016E021">
            <w:pPr>
              <w:tabs>
                <w:tab w:val="left" w:pos="5140"/>
                <w:tab w:val="left" w:pos="8420"/>
              </w:tabs>
              <w:autoSpaceDE w:val="0"/>
              <w:autoSpaceDN w:val="0"/>
              <w:adjustRightInd w:val="0"/>
              <w:snapToGrid w:val="0"/>
              <w:spacing w:line="360" w:lineRule="exact"/>
              <w:jc w:val="left"/>
              <w:rPr>
                <w:rFonts w:hint="eastAsia" w:ascii="宋体" w:hAnsi="宋体" w:eastAsia="宋体" w:cs="宋体"/>
                <w:color w:val="auto"/>
                <w:kern w:val="0"/>
                <w:szCs w:val="21"/>
              </w:rPr>
            </w:pPr>
            <w:r>
              <w:rPr>
                <w:rFonts w:hint="eastAsia" w:ascii="宋体" w:hAnsi="宋体" w:eastAsia="宋体" w:cs="宋体"/>
                <w:color w:val="auto"/>
                <w:kern w:val="0"/>
                <w:szCs w:val="21"/>
              </w:rPr>
              <w:t>地  址：</w:t>
            </w:r>
            <w:r>
              <w:rPr>
                <w:rFonts w:hint="eastAsia" w:ascii="宋体" w:hAnsi="宋体" w:eastAsia="宋体" w:cs="宋体"/>
                <w:color w:val="auto"/>
                <w:szCs w:val="21"/>
              </w:rPr>
              <w:t>重庆市涪陵新区李渡鹤凤大道19号品鉴硅谷园10栋</w:t>
            </w:r>
          </w:p>
          <w:p w14:paraId="383B05EA">
            <w:pPr>
              <w:adjustRightInd w:val="0"/>
              <w:snapToGrid w:val="0"/>
              <w:spacing w:line="360" w:lineRule="exact"/>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rPr>
              <w:t>联系人：</w:t>
            </w:r>
            <w:r>
              <w:rPr>
                <w:rFonts w:hint="eastAsia" w:ascii="宋体" w:hAnsi="宋体" w:cs="宋体"/>
                <w:color w:val="auto"/>
                <w:kern w:val="0"/>
                <w:szCs w:val="21"/>
                <w:lang w:val="en-US" w:eastAsia="zh-CN"/>
              </w:rPr>
              <w:t>胡老师</w:t>
            </w:r>
          </w:p>
          <w:p w14:paraId="75D00E8D">
            <w:pPr>
              <w:spacing w:line="360" w:lineRule="exact"/>
              <w:rPr>
                <w:rFonts w:hint="default" w:ascii="宋体" w:hAnsi="宋体" w:eastAsia="宋体" w:cs="宋体"/>
                <w:kern w:val="0"/>
                <w:szCs w:val="21"/>
                <w:lang w:val="en-US"/>
              </w:rPr>
            </w:pPr>
            <w:r>
              <w:rPr>
                <w:rFonts w:hint="eastAsia" w:ascii="宋体" w:hAnsi="宋体" w:eastAsia="宋体" w:cs="宋体"/>
                <w:color w:val="auto"/>
                <w:kern w:val="0"/>
                <w:szCs w:val="21"/>
              </w:rPr>
              <w:t>电  话：</w:t>
            </w:r>
            <w:r>
              <w:rPr>
                <w:rFonts w:hint="eastAsia" w:ascii="宋体" w:hAnsi="宋体" w:cs="宋体"/>
                <w:color w:val="auto"/>
                <w:kern w:val="0"/>
                <w:szCs w:val="21"/>
                <w:lang w:val="en-US" w:eastAsia="zh-CN"/>
              </w:rPr>
              <w:t>19923183614</w:t>
            </w:r>
          </w:p>
        </w:tc>
      </w:tr>
      <w:tr w14:paraId="74ED6580">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54E20EFC">
            <w:pPr>
              <w:spacing w:line="360" w:lineRule="exact"/>
              <w:jc w:val="center"/>
              <w:rPr>
                <w:rFonts w:hint="eastAsia" w:ascii="宋体" w:hAnsi="宋体" w:eastAsia="宋体" w:cs="宋体"/>
                <w:szCs w:val="21"/>
              </w:rPr>
            </w:pPr>
            <w:r>
              <w:rPr>
                <w:rFonts w:hint="eastAsia" w:ascii="宋体" w:hAnsi="宋体" w:eastAsia="宋体" w:cs="宋体"/>
                <w:szCs w:val="21"/>
              </w:rPr>
              <w:t>1.1.3</w:t>
            </w:r>
          </w:p>
        </w:tc>
        <w:tc>
          <w:tcPr>
            <w:tcW w:w="2583" w:type="dxa"/>
            <w:tcBorders>
              <w:top w:val="single" w:color="auto" w:sz="4" w:space="0"/>
              <w:left w:val="single" w:color="auto" w:sz="4" w:space="0"/>
              <w:bottom w:val="single" w:color="auto" w:sz="4" w:space="0"/>
              <w:right w:val="single" w:color="auto" w:sz="4" w:space="0"/>
            </w:tcBorders>
            <w:vAlign w:val="center"/>
          </w:tcPr>
          <w:p w14:paraId="6F0938F5">
            <w:pPr>
              <w:spacing w:line="360" w:lineRule="exact"/>
              <w:jc w:val="center"/>
              <w:rPr>
                <w:rFonts w:hint="eastAsia" w:ascii="宋体" w:hAnsi="宋体" w:eastAsia="宋体" w:cs="宋体"/>
                <w:szCs w:val="21"/>
              </w:rPr>
            </w:pPr>
            <w:r>
              <w:rPr>
                <w:rFonts w:hint="eastAsia" w:ascii="宋体" w:hAnsi="宋体" w:eastAsia="宋体" w:cs="宋体"/>
                <w:szCs w:val="21"/>
              </w:rPr>
              <w:t>采购代理机构</w:t>
            </w:r>
          </w:p>
        </w:tc>
        <w:tc>
          <w:tcPr>
            <w:tcW w:w="5817" w:type="dxa"/>
            <w:tcBorders>
              <w:top w:val="single" w:color="auto" w:sz="4" w:space="0"/>
              <w:left w:val="single" w:color="auto" w:sz="4" w:space="0"/>
              <w:bottom w:val="single" w:color="auto" w:sz="4" w:space="0"/>
              <w:right w:val="single" w:color="auto" w:sz="4" w:space="0"/>
            </w:tcBorders>
            <w:vAlign w:val="center"/>
          </w:tcPr>
          <w:p w14:paraId="708D3D74">
            <w:pPr>
              <w:spacing w:line="360" w:lineRule="exact"/>
              <w:rPr>
                <w:rFonts w:hint="eastAsia" w:ascii="宋体" w:hAnsi="宋体" w:eastAsia="宋体" w:cs="宋体"/>
                <w:szCs w:val="21"/>
                <w:lang w:eastAsia="zh-CN"/>
              </w:rPr>
            </w:pPr>
            <w:r>
              <w:rPr>
                <w:rFonts w:hint="eastAsia" w:ascii="宋体" w:hAnsi="宋体" w:eastAsia="宋体" w:cs="宋体"/>
                <w:szCs w:val="21"/>
                <w:lang w:eastAsia="zh-CN"/>
              </w:rPr>
              <w:t>无</w:t>
            </w:r>
          </w:p>
        </w:tc>
      </w:tr>
      <w:tr w14:paraId="6C94FAD3">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18410F82">
            <w:pPr>
              <w:spacing w:line="360" w:lineRule="exact"/>
              <w:jc w:val="center"/>
              <w:rPr>
                <w:rFonts w:hint="eastAsia" w:ascii="宋体" w:hAnsi="宋体" w:eastAsia="宋体" w:cs="宋体"/>
                <w:szCs w:val="21"/>
              </w:rPr>
            </w:pPr>
            <w:r>
              <w:rPr>
                <w:rFonts w:hint="eastAsia" w:ascii="宋体" w:hAnsi="宋体" w:eastAsia="宋体" w:cs="宋体"/>
                <w:szCs w:val="21"/>
              </w:rPr>
              <w:t>1.1.4</w:t>
            </w:r>
          </w:p>
        </w:tc>
        <w:tc>
          <w:tcPr>
            <w:tcW w:w="2583" w:type="dxa"/>
            <w:tcBorders>
              <w:top w:val="single" w:color="auto" w:sz="4" w:space="0"/>
              <w:left w:val="single" w:color="auto" w:sz="4" w:space="0"/>
              <w:bottom w:val="single" w:color="auto" w:sz="4" w:space="0"/>
              <w:right w:val="single" w:color="auto" w:sz="4" w:space="0"/>
            </w:tcBorders>
            <w:vAlign w:val="center"/>
          </w:tcPr>
          <w:p w14:paraId="70DAF4A0">
            <w:pPr>
              <w:spacing w:line="360" w:lineRule="exact"/>
              <w:ind w:right="84" w:rightChars="40"/>
              <w:jc w:val="center"/>
              <w:rPr>
                <w:rFonts w:hint="eastAsia" w:ascii="宋体" w:hAnsi="宋体" w:eastAsia="宋体" w:cs="宋体"/>
                <w:szCs w:val="21"/>
              </w:rPr>
            </w:pPr>
            <w:r>
              <w:rPr>
                <w:rFonts w:hint="eastAsia" w:ascii="宋体" w:hAnsi="宋体" w:eastAsia="宋体" w:cs="宋体"/>
                <w:szCs w:val="21"/>
              </w:rPr>
              <w:t>项目名称及项目编号</w:t>
            </w:r>
          </w:p>
        </w:tc>
        <w:tc>
          <w:tcPr>
            <w:tcW w:w="5817" w:type="dxa"/>
            <w:tcBorders>
              <w:top w:val="single" w:color="auto" w:sz="4" w:space="0"/>
              <w:left w:val="single" w:color="auto" w:sz="4" w:space="0"/>
              <w:bottom w:val="single" w:color="auto" w:sz="4" w:space="0"/>
              <w:right w:val="single" w:color="auto" w:sz="4" w:space="0"/>
            </w:tcBorders>
            <w:vAlign w:val="center"/>
          </w:tcPr>
          <w:p w14:paraId="6FBF1859">
            <w:pPr>
              <w:adjustRightInd w:val="0"/>
              <w:snapToGrid w:val="0"/>
              <w:spacing w:line="360" w:lineRule="exact"/>
              <w:rPr>
                <w:rFonts w:hint="eastAsia" w:ascii="宋体" w:hAnsi="宋体" w:eastAsia="宋体" w:cs="宋体"/>
                <w:szCs w:val="21"/>
              </w:rPr>
            </w:pPr>
            <w:r>
              <w:rPr>
                <w:rFonts w:hint="eastAsia" w:ascii="宋体" w:hAnsi="宋体" w:eastAsia="宋体" w:cs="宋体"/>
                <w:szCs w:val="21"/>
              </w:rPr>
              <w:t>项目名称：</w:t>
            </w:r>
            <w:r>
              <w:rPr>
                <w:rFonts w:hint="eastAsia" w:ascii="宋体" w:hAnsi="宋体" w:cs="宋体"/>
                <w:kern w:val="0"/>
                <w:szCs w:val="21"/>
                <w:lang w:val="en-US" w:eastAsia="zh-CN"/>
              </w:rPr>
              <w:t>山窝220千伏输变电工程10千伏并联电容器采购</w:t>
            </w:r>
          </w:p>
        </w:tc>
      </w:tr>
      <w:tr w14:paraId="5965024F">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22989A5">
            <w:pPr>
              <w:spacing w:line="360" w:lineRule="exact"/>
              <w:jc w:val="center"/>
              <w:rPr>
                <w:rFonts w:hint="eastAsia" w:ascii="宋体" w:hAnsi="宋体" w:eastAsia="宋体" w:cs="宋体"/>
                <w:szCs w:val="21"/>
              </w:rPr>
            </w:pPr>
            <w:r>
              <w:rPr>
                <w:rFonts w:hint="eastAsia" w:ascii="宋体" w:hAnsi="宋体" w:eastAsia="宋体" w:cs="宋体"/>
                <w:szCs w:val="21"/>
              </w:rPr>
              <w:t>1.1.5</w:t>
            </w:r>
          </w:p>
        </w:tc>
        <w:tc>
          <w:tcPr>
            <w:tcW w:w="2583" w:type="dxa"/>
            <w:tcBorders>
              <w:top w:val="single" w:color="auto" w:sz="4" w:space="0"/>
              <w:left w:val="single" w:color="auto" w:sz="4" w:space="0"/>
              <w:bottom w:val="single" w:color="auto" w:sz="4" w:space="0"/>
              <w:right w:val="single" w:color="auto" w:sz="4" w:space="0"/>
            </w:tcBorders>
            <w:vAlign w:val="center"/>
          </w:tcPr>
          <w:p w14:paraId="149C72B4">
            <w:pPr>
              <w:spacing w:line="360" w:lineRule="exact"/>
              <w:jc w:val="center"/>
              <w:rPr>
                <w:rFonts w:hint="eastAsia" w:ascii="宋体" w:hAnsi="宋体" w:eastAsia="宋体" w:cs="宋体"/>
                <w:szCs w:val="21"/>
              </w:rPr>
            </w:pPr>
            <w:r>
              <w:rPr>
                <w:rFonts w:hint="eastAsia" w:ascii="宋体" w:hAnsi="宋体" w:eastAsia="宋体" w:cs="宋体"/>
                <w:szCs w:val="21"/>
              </w:rPr>
              <w:t>项目地点</w:t>
            </w:r>
          </w:p>
        </w:tc>
        <w:tc>
          <w:tcPr>
            <w:tcW w:w="5817" w:type="dxa"/>
            <w:tcBorders>
              <w:top w:val="single" w:color="auto" w:sz="4" w:space="0"/>
              <w:left w:val="single" w:color="auto" w:sz="4" w:space="0"/>
              <w:bottom w:val="single" w:color="auto" w:sz="4" w:space="0"/>
              <w:right w:val="single" w:color="auto" w:sz="4" w:space="0"/>
            </w:tcBorders>
            <w:vAlign w:val="center"/>
          </w:tcPr>
          <w:p w14:paraId="24B805BA">
            <w:pPr>
              <w:widowControl/>
              <w:adjustRightInd w:val="0"/>
              <w:snapToGrid w:val="0"/>
              <w:spacing w:line="360" w:lineRule="exact"/>
              <w:ind w:firstLine="0" w:firstLineChars="0"/>
              <w:jc w:val="both"/>
              <w:rPr>
                <w:rFonts w:hint="eastAsia" w:ascii="宋体" w:hAnsi="宋体" w:eastAsia="宋体" w:cs="宋体"/>
                <w:color w:val="0070C0"/>
                <w:kern w:val="0"/>
                <w:szCs w:val="21"/>
                <w:highlight w:val="yellow"/>
                <w:lang w:val="en-US" w:eastAsia="zh-CN"/>
              </w:rPr>
            </w:pPr>
            <w:r>
              <w:rPr>
                <w:rFonts w:hint="eastAsia" w:ascii="宋体" w:hAnsi="宋体"/>
                <w:snapToGrid w:val="0"/>
                <w:color w:val="220BFB"/>
                <w:kern w:val="0"/>
                <w:szCs w:val="21"/>
                <w:highlight w:val="none"/>
                <w:lang w:val="en-US" w:eastAsia="zh-CN"/>
              </w:rPr>
              <w:t>重庆市涪陵区白涛街道</w:t>
            </w:r>
            <w:r>
              <w:rPr>
                <w:rFonts w:hint="default" w:ascii="宋体" w:hAnsi="宋体" w:eastAsia="宋体" w:cs="宋体"/>
                <w:snapToGrid w:val="0"/>
                <w:color w:val="220BFB"/>
                <w:kern w:val="0"/>
                <w:szCs w:val="21"/>
                <w:highlight w:val="none"/>
                <w:u w:val="none"/>
                <w:lang w:val="en-US" w:eastAsia="zh-CN"/>
              </w:rPr>
              <w:t>官桥</w:t>
            </w:r>
            <w:r>
              <w:rPr>
                <w:rFonts w:hint="eastAsia" w:ascii="宋体" w:hAnsi="宋体" w:cs="宋体"/>
                <w:snapToGrid w:val="0"/>
                <w:color w:val="220BFB"/>
                <w:kern w:val="0"/>
                <w:szCs w:val="21"/>
                <w:highlight w:val="none"/>
                <w:u w:val="none"/>
                <w:lang w:val="en-US" w:eastAsia="zh-CN"/>
              </w:rPr>
              <w:t>社区山窝</w:t>
            </w:r>
            <w:r>
              <w:rPr>
                <w:rFonts w:hint="eastAsia" w:ascii="宋体" w:hAnsi="宋体" w:eastAsia="宋体" w:cs="宋体"/>
                <w:snapToGrid w:val="0"/>
                <w:color w:val="220BFB"/>
                <w:kern w:val="0"/>
                <w:szCs w:val="21"/>
                <w:highlight w:val="none"/>
                <w:u w:val="none"/>
                <w:lang w:eastAsia="zh-CN"/>
              </w:rPr>
              <w:t>变电站</w:t>
            </w:r>
            <w:r>
              <w:rPr>
                <w:rFonts w:hint="eastAsia" w:ascii="宋体" w:hAnsi="宋体"/>
                <w:snapToGrid w:val="0"/>
                <w:color w:val="220BFB"/>
                <w:kern w:val="0"/>
                <w:szCs w:val="21"/>
                <w:highlight w:val="none"/>
                <w:lang w:val="en-US" w:eastAsia="zh-CN"/>
              </w:rPr>
              <w:t>。</w:t>
            </w:r>
          </w:p>
        </w:tc>
      </w:tr>
      <w:tr w14:paraId="600564F5">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4D46BBF">
            <w:pPr>
              <w:spacing w:line="360" w:lineRule="exact"/>
              <w:jc w:val="center"/>
              <w:rPr>
                <w:rFonts w:hint="eastAsia" w:ascii="宋体" w:hAnsi="宋体" w:eastAsia="宋体" w:cs="宋体"/>
                <w:szCs w:val="21"/>
              </w:rPr>
            </w:pPr>
            <w:r>
              <w:rPr>
                <w:rFonts w:hint="eastAsia" w:ascii="宋体" w:hAnsi="宋体" w:eastAsia="宋体" w:cs="宋体"/>
                <w:szCs w:val="21"/>
              </w:rPr>
              <w:t>1.2.1</w:t>
            </w:r>
          </w:p>
        </w:tc>
        <w:tc>
          <w:tcPr>
            <w:tcW w:w="2583" w:type="dxa"/>
            <w:tcBorders>
              <w:top w:val="single" w:color="auto" w:sz="4" w:space="0"/>
              <w:left w:val="single" w:color="auto" w:sz="4" w:space="0"/>
              <w:bottom w:val="single" w:color="auto" w:sz="4" w:space="0"/>
              <w:right w:val="single" w:color="auto" w:sz="4" w:space="0"/>
            </w:tcBorders>
            <w:vAlign w:val="center"/>
          </w:tcPr>
          <w:p w14:paraId="6889E90E">
            <w:pPr>
              <w:spacing w:line="360" w:lineRule="exact"/>
              <w:jc w:val="center"/>
              <w:rPr>
                <w:rFonts w:hint="eastAsia" w:ascii="宋体" w:hAnsi="宋体" w:eastAsia="宋体" w:cs="宋体"/>
                <w:szCs w:val="21"/>
              </w:rPr>
            </w:pPr>
            <w:r>
              <w:rPr>
                <w:rFonts w:hint="eastAsia" w:ascii="宋体" w:hAnsi="宋体" w:eastAsia="宋体" w:cs="宋体"/>
                <w:szCs w:val="21"/>
              </w:rPr>
              <w:t>资金来源</w:t>
            </w:r>
          </w:p>
        </w:tc>
        <w:tc>
          <w:tcPr>
            <w:tcW w:w="5817" w:type="dxa"/>
            <w:tcBorders>
              <w:top w:val="single" w:color="auto" w:sz="4" w:space="0"/>
              <w:left w:val="single" w:color="auto" w:sz="4" w:space="0"/>
              <w:bottom w:val="single" w:color="auto" w:sz="4" w:space="0"/>
              <w:right w:val="single" w:color="auto" w:sz="4" w:space="0"/>
            </w:tcBorders>
            <w:vAlign w:val="center"/>
          </w:tcPr>
          <w:p w14:paraId="14BFA4B0">
            <w:pPr>
              <w:spacing w:line="360" w:lineRule="exact"/>
              <w:rPr>
                <w:rFonts w:hint="eastAsia" w:ascii="宋体" w:hAnsi="宋体" w:eastAsia="宋体" w:cs="宋体"/>
                <w:szCs w:val="21"/>
              </w:rPr>
            </w:pPr>
            <w:r>
              <w:rPr>
                <w:rFonts w:hint="eastAsia" w:ascii="宋体" w:hAnsi="宋体" w:eastAsia="宋体" w:cs="宋体"/>
                <w:kern w:val="0"/>
                <w:szCs w:val="21"/>
              </w:rPr>
              <w:t>业主自筹</w:t>
            </w:r>
          </w:p>
        </w:tc>
      </w:tr>
      <w:tr w14:paraId="5DCC854F">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61E96AE5">
            <w:pPr>
              <w:spacing w:line="360" w:lineRule="exact"/>
              <w:jc w:val="center"/>
              <w:rPr>
                <w:rFonts w:hint="eastAsia" w:ascii="宋体" w:hAnsi="宋体" w:eastAsia="宋体" w:cs="宋体"/>
                <w:szCs w:val="21"/>
              </w:rPr>
            </w:pPr>
            <w:r>
              <w:rPr>
                <w:rFonts w:hint="eastAsia" w:ascii="宋体" w:hAnsi="宋体" w:eastAsia="宋体" w:cs="宋体"/>
                <w:szCs w:val="21"/>
              </w:rPr>
              <w:t>1.2.2</w:t>
            </w:r>
          </w:p>
        </w:tc>
        <w:tc>
          <w:tcPr>
            <w:tcW w:w="2583" w:type="dxa"/>
            <w:tcBorders>
              <w:top w:val="single" w:color="auto" w:sz="4" w:space="0"/>
              <w:left w:val="single" w:color="auto" w:sz="4" w:space="0"/>
              <w:bottom w:val="single" w:color="auto" w:sz="4" w:space="0"/>
              <w:right w:val="single" w:color="auto" w:sz="4" w:space="0"/>
            </w:tcBorders>
            <w:vAlign w:val="center"/>
          </w:tcPr>
          <w:p w14:paraId="07712087">
            <w:pPr>
              <w:spacing w:line="360" w:lineRule="exact"/>
              <w:jc w:val="center"/>
              <w:rPr>
                <w:rFonts w:hint="eastAsia" w:ascii="宋体" w:hAnsi="宋体" w:eastAsia="宋体" w:cs="宋体"/>
                <w:szCs w:val="21"/>
              </w:rPr>
            </w:pPr>
            <w:r>
              <w:rPr>
                <w:rFonts w:hint="eastAsia" w:ascii="宋体" w:hAnsi="宋体" w:eastAsia="宋体" w:cs="宋体"/>
                <w:szCs w:val="21"/>
              </w:rPr>
              <w:t>资金落实情况</w:t>
            </w:r>
          </w:p>
        </w:tc>
        <w:tc>
          <w:tcPr>
            <w:tcW w:w="5817" w:type="dxa"/>
            <w:tcBorders>
              <w:top w:val="single" w:color="auto" w:sz="4" w:space="0"/>
              <w:left w:val="single" w:color="auto" w:sz="4" w:space="0"/>
              <w:bottom w:val="single" w:color="auto" w:sz="4" w:space="0"/>
              <w:right w:val="single" w:color="auto" w:sz="4" w:space="0"/>
            </w:tcBorders>
            <w:vAlign w:val="center"/>
          </w:tcPr>
          <w:p w14:paraId="55F97B37">
            <w:pPr>
              <w:spacing w:line="360" w:lineRule="exact"/>
              <w:rPr>
                <w:rFonts w:hint="eastAsia" w:ascii="宋体" w:hAnsi="宋体" w:eastAsia="宋体" w:cs="宋体"/>
                <w:szCs w:val="21"/>
              </w:rPr>
            </w:pPr>
            <w:r>
              <w:rPr>
                <w:rFonts w:hint="eastAsia" w:ascii="宋体" w:hAnsi="宋体" w:eastAsia="宋体" w:cs="宋体"/>
                <w:kern w:val="0"/>
                <w:szCs w:val="21"/>
              </w:rPr>
              <w:t>已落实</w:t>
            </w:r>
          </w:p>
        </w:tc>
      </w:tr>
      <w:tr w14:paraId="17CB571A">
        <w:tblPrEx>
          <w:tblCellMar>
            <w:top w:w="0" w:type="dxa"/>
            <w:left w:w="108" w:type="dxa"/>
            <w:bottom w:w="0" w:type="dxa"/>
            <w:right w:w="108" w:type="dxa"/>
          </w:tblCellMar>
        </w:tblPrEx>
        <w:trPr>
          <w:trHeight w:val="126" w:hRule="atLeast"/>
        </w:trPr>
        <w:tc>
          <w:tcPr>
            <w:tcW w:w="1200" w:type="dxa"/>
            <w:tcBorders>
              <w:top w:val="single" w:color="auto" w:sz="4" w:space="0"/>
              <w:left w:val="single" w:color="auto" w:sz="4" w:space="0"/>
              <w:bottom w:val="single" w:color="auto" w:sz="4" w:space="0"/>
              <w:right w:val="single" w:color="auto" w:sz="4" w:space="0"/>
            </w:tcBorders>
            <w:vAlign w:val="center"/>
          </w:tcPr>
          <w:p w14:paraId="00311955">
            <w:pPr>
              <w:spacing w:line="360" w:lineRule="exact"/>
              <w:jc w:val="center"/>
              <w:rPr>
                <w:rFonts w:hint="eastAsia" w:ascii="宋体" w:hAnsi="宋体" w:eastAsia="宋体" w:cs="宋体"/>
                <w:szCs w:val="21"/>
              </w:rPr>
            </w:pPr>
            <w:r>
              <w:rPr>
                <w:rFonts w:hint="eastAsia" w:ascii="宋体" w:hAnsi="宋体" w:eastAsia="宋体" w:cs="宋体"/>
                <w:szCs w:val="21"/>
              </w:rPr>
              <w:t>1.3.1</w:t>
            </w:r>
          </w:p>
        </w:tc>
        <w:tc>
          <w:tcPr>
            <w:tcW w:w="2583" w:type="dxa"/>
            <w:tcBorders>
              <w:top w:val="single" w:color="auto" w:sz="4" w:space="0"/>
              <w:left w:val="single" w:color="auto" w:sz="4" w:space="0"/>
              <w:bottom w:val="single" w:color="auto" w:sz="4" w:space="0"/>
              <w:right w:val="single" w:color="auto" w:sz="4" w:space="0"/>
            </w:tcBorders>
            <w:vAlign w:val="center"/>
          </w:tcPr>
          <w:p w14:paraId="76D1547B">
            <w:pPr>
              <w:spacing w:line="360" w:lineRule="exact"/>
              <w:jc w:val="center"/>
              <w:rPr>
                <w:rFonts w:hint="default" w:ascii="宋体" w:hAnsi="宋体" w:eastAsia="宋体" w:cs="宋体"/>
                <w:szCs w:val="21"/>
                <w:lang w:val="en-US"/>
              </w:rPr>
            </w:pPr>
            <w:r>
              <w:rPr>
                <w:rFonts w:hint="eastAsia" w:ascii="宋体" w:hAnsi="宋体" w:cs="宋体"/>
                <w:szCs w:val="21"/>
                <w:lang w:val="en-US" w:eastAsia="zh-CN"/>
              </w:rPr>
              <w:t>采购范围</w:t>
            </w:r>
          </w:p>
        </w:tc>
        <w:tc>
          <w:tcPr>
            <w:tcW w:w="5817" w:type="dxa"/>
            <w:tcBorders>
              <w:top w:val="single" w:color="auto" w:sz="4" w:space="0"/>
              <w:left w:val="single" w:color="auto" w:sz="4" w:space="0"/>
              <w:bottom w:val="single" w:color="auto" w:sz="4" w:space="0"/>
              <w:right w:val="single" w:color="auto" w:sz="4" w:space="0"/>
            </w:tcBorders>
            <w:vAlign w:val="center"/>
          </w:tcPr>
          <w:p w14:paraId="7F34B4AE">
            <w:pPr>
              <w:tabs>
                <w:tab w:val="left" w:pos="2420"/>
                <w:tab w:val="left" w:pos="5445"/>
              </w:tabs>
              <w:adjustRightInd w:val="0"/>
              <w:snapToGrid w:val="0"/>
              <w:spacing w:line="360" w:lineRule="auto"/>
              <w:rPr>
                <w:rFonts w:hint="eastAsia" w:ascii="宋体" w:hAnsi="宋体" w:eastAsia="宋体" w:cs="宋体"/>
                <w:b w:val="0"/>
                <w:bCs w:val="0"/>
                <w:snapToGrid w:val="0"/>
                <w:color w:val="auto"/>
                <w:w w:val="100"/>
                <w:kern w:val="2"/>
                <w:sz w:val="21"/>
                <w:szCs w:val="21"/>
                <w:highlight w:val="none"/>
                <w:lang w:val="en-US" w:eastAsia="zh-CN"/>
              </w:rPr>
            </w:pPr>
            <w:r>
              <w:rPr>
                <w:rFonts w:hint="eastAsia" w:ascii="宋体" w:hAnsi="宋体" w:eastAsia="宋体" w:cs="宋体"/>
                <w:snapToGrid w:val="0"/>
                <w:color w:val="0000FF"/>
                <w:kern w:val="0"/>
                <w:szCs w:val="21"/>
                <w:highlight w:val="none"/>
                <w:u w:val="none"/>
                <w:lang w:val="en-US" w:eastAsia="zh-CN"/>
              </w:rPr>
              <w:t>本次招标范围包含10千伏并联电容器采购的设计、制造、试验、装配、包装、运输、交货、验收、保险、调试、现场培训以及售后服务等，</w:t>
            </w:r>
          </w:p>
        </w:tc>
      </w:tr>
      <w:tr w14:paraId="2E3CA074">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20497379">
            <w:pPr>
              <w:spacing w:line="360" w:lineRule="exact"/>
              <w:jc w:val="center"/>
              <w:rPr>
                <w:rFonts w:hint="eastAsia" w:ascii="宋体" w:hAnsi="宋体" w:eastAsia="宋体" w:cs="宋体"/>
                <w:szCs w:val="21"/>
              </w:rPr>
            </w:pPr>
            <w:r>
              <w:rPr>
                <w:rFonts w:hint="eastAsia" w:ascii="宋体" w:hAnsi="宋体" w:eastAsia="宋体" w:cs="宋体"/>
                <w:szCs w:val="21"/>
              </w:rPr>
              <w:t>1.3.2</w:t>
            </w:r>
          </w:p>
        </w:tc>
        <w:tc>
          <w:tcPr>
            <w:tcW w:w="2583" w:type="dxa"/>
            <w:tcBorders>
              <w:top w:val="single" w:color="auto" w:sz="4" w:space="0"/>
              <w:left w:val="single" w:color="auto" w:sz="4" w:space="0"/>
              <w:bottom w:val="single" w:color="auto" w:sz="4" w:space="0"/>
              <w:right w:val="single" w:color="auto" w:sz="4" w:space="0"/>
            </w:tcBorders>
            <w:vAlign w:val="center"/>
          </w:tcPr>
          <w:p w14:paraId="2EC7E1A8">
            <w:pPr>
              <w:snapToGrid w:val="0"/>
              <w:spacing w:line="400" w:lineRule="exact"/>
              <w:jc w:val="center"/>
              <w:rPr>
                <w:rFonts w:hint="eastAsia" w:ascii="宋体" w:hAnsi="宋体" w:eastAsia="宋体" w:cs="宋体"/>
                <w:szCs w:val="21"/>
              </w:rPr>
            </w:pPr>
            <w:r>
              <w:rPr>
                <w:rFonts w:hint="eastAsia" w:ascii="宋体" w:hAnsi="宋体"/>
                <w:color w:val="auto"/>
                <w:kern w:val="0"/>
                <w:szCs w:val="21"/>
                <w:highlight w:val="none"/>
                <w:lang w:val="en-US" w:eastAsia="zh-CN"/>
              </w:rPr>
              <w:t>计划交货期</w:t>
            </w:r>
          </w:p>
        </w:tc>
        <w:tc>
          <w:tcPr>
            <w:tcW w:w="5817" w:type="dxa"/>
            <w:tcBorders>
              <w:top w:val="single" w:color="auto" w:sz="4" w:space="0"/>
              <w:left w:val="single" w:color="auto" w:sz="4" w:space="0"/>
              <w:bottom w:val="single" w:color="auto" w:sz="4" w:space="0"/>
              <w:right w:val="single" w:color="auto" w:sz="4" w:space="0"/>
            </w:tcBorders>
            <w:vAlign w:val="center"/>
          </w:tcPr>
          <w:p w14:paraId="6541DE3A">
            <w:pPr>
              <w:tabs>
                <w:tab w:val="left" w:pos="3840"/>
                <w:tab w:val="left" w:pos="5300"/>
              </w:tabs>
              <w:autoSpaceDE w:val="0"/>
              <w:autoSpaceDN w:val="0"/>
              <w:adjustRightInd w:val="0"/>
              <w:snapToGrid w:val="0"/>
              <w:spacing w:line="460" w:lineRule="exact"/>
              <w:jc w:val="left"/>
              <w:rPr>
                <w:rFonts w:hint="default" w:ascii="宋体" w:hAnsi="宋体" w:eastAsia="宋体" w:cs="宋体"/>
                <w:szCs w:val="21"/>
                <w:lang w:val="en-US" w:eastAsia="zh-CN"/>
              </w:rPr>
            </w:pPr>
            <w:r>
              <w:rPr>
                <w:rFonts w:hint="eastAsia" w:ascii="宋体" w:hAnsi="宋体"/>
                <w:snapToGrid w:val="0"/>
                <w:color w:val="220BFB"/>
                <w:kern w:val="0"/>
                <w:szCs w:val="21"/>
                <w:highlight w:val="none"/>
                <w:lang w:val="en-US" w:eastAsia="zh-CN"/>
              </w:rPr>
              <w:t>2025年10月30日前货到现场（具体交货时间以甲方通知为准）。</w:t>
            </w:r>
          </w:p>
        </w:tc>
      </w:tr>
      <w:tr w14:paraId="2031946A">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02BD9615">
            <w:pPr>
              <w:spacing w:line="360" w:lineRule="exact"/>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1.3.3</w:t>
            </w:r>
          </w:p>
        </w:tc>
        <w:tc>
          <w:tcPr>
            <w:tcW w:w="2583" w:type="dxa"/>
            <w:tcBorders>
              <w:top w:val="single" w:color="auto" w:sz="4" w:space="0"/>
              <w:left w:val="single" w:color="auto" w:sz="4" w:space="0"/>
              <w:bottom w:val="single" w:color="auto" w:sz="4" w:space="0"/>
              <w:right w:val="single" w:color="auto" w:sz="4" w:space="0"/>
            </w:tcBorders>
            <w:vAlign w:val="center"/>
          </w:tcPr>
          <w:p w14:paraId="584EBC80">
            <w:pPr>
              <w:snapToGrid w:val="0"/>
              <w:spacing w:line="400" w:lineRule="exact"/>
              <w:jc w:val="center"/>
              <w:rPr>
                <w:rFonts w:hint="eastAsia" w:ascii="宋体" w:hAnsi="宋体" w:eastAsia="宋体" w:cs="宋体"/>
                <w:szCs w:val="21"/>
              </w:rPr>
            </w:pPr>
            <w:r>
              <w:rPr>
                <w:rFonts w:hint="eastAsia" w:ascii="宋体" w:hAnsi="宋体"/>
                <w:color w:val="auto"/>
                <w:kern w:val="0"/>
                <w:szCs w:val="21"/>
                <w:highlight w:val="none"/>
                <w:lang w:val="en-US" w:eastAsia="zh-CN"/>
              </w:rPr>
              <w:t>交货地点</w:t>
            </w:r>
          </w:p>
        </w:tc>
        <w:tc>
          <w:tcPr>
            <w:tcW w:w="5817" w:type="dxa"/>
            <w:tcBorders>
              <w:top w:val="single" w:color="auto" w:sz="4" w:space="0"/>
              <w:left w:val="single" w:color="auto" w:sz="4" w:space="0"/>
              <w:bottom w:val="single" w:color="auto" w:sz="4" w:space="0"/>
              <w:right w:val="single" w:color="auto" w:sz="4" w:space="0"/>
            </w:tcBorders>
            <w:vAlign w:val="center"/>
          </w:tcPr>
          <w:p w14:paraId="15791A08">
            <w:pPr>
              <w:snapToGrid w:val="0"/>
              <w:spacing w:line="400" w:lineRule="exact"/>
              <w:rPr>
                <w:rFonts w:hint="eastAsia" w:ascii="宋体" w:hAnsi="宋体" w:eastAsia="宋体" w:cs="宋体"/>
                <w:szCs w:val="21"/>
                <w:lang w:val="en-US" w:eastAsia="zh-CN"/>
              </w:rPr>
            </w:pPr>
            <w:r>
              <w:rPr>
                <w:rFonts w:hint="eastAsia" w:ascii="宋体" w:hAnsi="宋体"/>
                <w:snapToGrid w:val="0"/>
                <w:color w:val="220BFB"/>
                <w:kern w:val="0"/>
                <w:szCs w:val="21"/>
                <w:highlight w:val="none"/>
                <w:lang w:val="en-US" w:eastAsia="zh-CN"/>
              </w:rPr>
              <w:t>重庆市涪陵区白涛街道</w:t>
            </w:r>
            <w:r>
              <w:rPr>
                <w:rFonts w:hint="default" w:ascii="宋体" w:hAnsi="宋体" w:eastAsia="宋体" w:cs="宋体"/>
                <w:snapToGrid w:val="0"/>
                <w:color w:val="220BFB"/>
                <w:kern w:val="0"/>
                <w:szCs w:val="21"/>
                <w:highlight w:val="none"/>
                <w:u w:val="none"/>
                <w:lang w:val="en-US" w:eastAsia="zh-CN"/>
              </w:rPr>
              <w:t>官桥</w:t>
            </w:r>
            <w:r>
              <w:rPr>
                <w:rFonts w:hint="eastAsia" w:ascii="宋体" w:hAnsi="宋体" w:cs="宋体"/>
                <w:snapToGrid w:val="0"/>
                <w:color w:val="220BFB"/>
                <w:kern w:val="0"/>
                <w:szCs w:val="21"/>
                <w:highlight w:val="none"/>
                <w:u w:val="none"/>
                <w:lang w:val="en-US" w:eastAsia="zh-CN"/>
              </w:rPr>
              <w:t>社区山窝</w:t>
            </w:r>
            <w:r>
              <w:rPr>
                <w:rFonts w:hint="eastAsia" w:ascii="宋体" w:hAnsi="宋体" w:eastAsia="宋体" w:cs="宋体"/>
                <w:snapToGrid w:val="0"/>
                <w:color w:val="220BFB"/>
                <w:kern w:val="0"/>
                <w:szCs w:val="21"/>
                <w:highlight w:val="none"/>
                <w:u w:val="none"/>
                <w:lang w:eastAsia="zh-CN"/>
              </w:rPr>
              <w:t>变电站</w:t>
            </w:r>
          </w:p>
        </w:tc>
      </w:tr>
      <w:tr w14:paraId="0C0F9B13">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21AFE600">
            <w:pPr>
              <w:spacing w:line="360" w:lineRule="exact"/>
              <w:jc w:val="center"/>
              <w:rPr>
                <w:rFonts w:hint="eastAsia" w:ascii="宋体" w:hAnsi="宋体" w:eastAsia="宋体" w:cs="宋体"/>
                <w:szCs w:val="21"/>
                <w:lang w:eastAsia="zh-CN"/>
              </w:rPr>
            </w:pPr>
            <w:r>
              <w:rPr>
                <w:rFonts w:hint="eastAsia" w:ascii="宋体" w:hAnsi="宋体" w:eastAsia="宋体" w:cs="宋体"/>
                <w:szCs w:val="21"/>
              </w:rPr>
              <w:t>1.3.</w:t>
            </w:r>
            <w:r>
              <w:rPr>
                <w:rFonts w:hint="eastAsia" w:ascii="宋体" w:hAnsi="宋体" w:cs="宋体"/>
                <w:szCs w:val="21"/>
                <w:lang w:val="en-US" w:eastAsia="zh-CN"/>
              </w:rPr>
              <w:t>4</w:t>
            </w:r>
          </w:p>
        </w:tc>
        <w:tc>
          <w:tcPr>
            <w:tcW w:w="2583" w:type="dxa"/>
            <w:tcBorders>
              <w:top w:val="single" w:color="auto" w:sz="4" w:space="0"/>
              <w:left w:val="single" w:color="auto" w:sz="4" w:space="0"/>
              <w:bottom w:val="single" w:color="auto" w:sz="4" w:space="0"/>
              <w:right w:val="single" w:color="auto" w:sz="4" w:space="0"/>
            </w:tcBorders>
            <w:vAlign w:val="center"/>
          </w:tcPr>
          <w:p w14:paraId="7E4778AD">
            <w:pPr>
              <w:spacing w:line="360" w:lineRule="exact"/>
              <w:jc w:val="center"/>
              <w:rPr>
                <w:rFonts w:hint="eastAsia" w:ascii="宋体" w:hAnsi="宋体" w:eastAsia="宋体" w:cs="宋体"/>
                <w:szCs w:val="21"/>
              </w:rPr>
            </w:pPr>
            <w:r>
              <w:rPr>
                <w:rFonts w:hint="eastAsia" w:ascii="宋体" w:hAnsi="宋体" w:eastAsia="宋体" w:cs="宋体"/>
                <w:szCs w:val="21"/>
              </w:rPr>
              <w:t>质量标准</w:t>
            </w:r>
          </w:p>
        </w:tc>
        <w:tc>
          <w:tcPr>
            <w:tcW w:w="5817" w:type="dxa"/>
            <w:tcBorders>
              <w:top w:val="single" w:color="auto" w:sz="4" w:space="0"/>
              <w:left w:val="single" w:color="auto" w:sz="4" w:space="0"/>
              <w:bottom w:val="single" w:color="auto" w:sz="4" w:space="0"/>
              <w:right w:val="single" w:color="auto" w:sz="4" w:space="0"/>
            </w:tcBorders>
            <w:vAlign w:val="center"/>
          </w:tcPr>
          <w:p w14:paraId="7B94A703">
            <w:pPr>
              <w:spacing w:line="360" w:lineRule="exact"/>
              <w:jc w:val="left"/>
              <w:rPr>
                <w:rFonts w:hint="eastAsia" w:ascii="宋体" w:hAnsi="宋体" w:eastAsia="宋体" w:cs="宋体"/>
                <w:szCs w:val="21"/>
                <w:lang w:val="en-US"/>
              </w:rPr>
            </w:pPr>
            <w:r>
              <w:rPr>
                <w:rFonts w:hint="eastAsia"/>
                <w:color w:val="auto"/>
                <w:highlight w:val="none"/>
                <w:lang w:val="en-US" w:eastAsia="zh-CN"/>
              </w:rPr>
              <w:t>质量标准：</w:t>
            </w:r>
            <w:r>
              <w:rPr>
                <w:rFonts w:hint="eastAsia"/>
                <w:color w:val="auto"/>
                <w:highlight w:val="none"/>
                <w:u w:val="single"/>
                <w:lang w:val="en-US" w:eastAsia="zh-CN"/>
              </w:rPr>
              <w:t>详见第五章供货要求</w:t>
            </w:r>
            <w:r>
              <w:rPr>
                <w:rFonts w:hint="eastAsia"/>
                <w:color w:val="auto"/>
                <w:highlight w:val="none"/>
                <w:u w:val="none"/>
                <w:lang w:val="en-US" w:eastAsia="zh-CN"/>
              </w:rPr>
              <w:t>。</w:t>
            </w:r>
          </w:p>
        </w:tc>
      </w:tr>
      <w:tr w14:paraId="360E9616">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77432EDD">
            <w:pPr>
              <w:spacing w:line="360" w:lineRule="exact"/>
              <w:jc w:val="center"/>
              <w:rPr>
                <w:rFonts w:hint="eastAsia" w:ascii="宋体" w:hAnsi="宋体" w:eastAsia="宋体" w:cs="宋体"/>
                <w:szCs w:val="21"/>
              </w:rPr>
            </w:pPr>
            <w:r>
              <w:rPr>
                <w:rFonts w:hint="eastAsia" w:ascii="宋体" w:hAnsi="宋体" w:eastAsia="宋体" w:cs="宋体"/>
                <w:szCs w:val="21"/>
              </w:rPr>
              <w:t>1.4.1</w:t>
            </w:r>
          </w:p>
        </w:tc>
        <w:tc>
          <w:tcPr>
            <w:tcW w:w="2583" w:type="dxa"/>
            <w:tcBorders>
              <w:top w:val="single" w:color="auto" w:sz="4" w:space="0"/>
              <w:left w:val="single" w:color="auto" w:sz="4" w:space="0"/>
              <w:bottom w:val="single" w:color="auto" w:sz="4" w:space="0"/>
              <w:right w:val="single" w:color="auto" w:sz="4" w:space="0"/>
            </w:tcBorders>
            <w:vAlign w:val="center"/>
          </w:tcPr>
          <w:p w14:paraId="5E0775BF">
            <w:pPr>
              <w:spacing w:line="360" w:lineRule="exact"/>
              <w:jc w:val="center"/>
              <w:rPr>
                <w:rFonts w:hint="eastAsia" w:ascii="宋体" w:hAnsi="宋体" w:eastAsia="宋体" w:cs="宋体"/>
                <w:szCs w:val="21"/>
              </w:rPr>
            </w:pPr>
            <w:r>
              <w:rPr>
                <w:rFonts w:hint="eastAsia" w:ascii="宋体" w:hAnsi="宋体" w:eastAsia="宋体" w:cs="宋体"/>
                <w:szCs w:val="21"/>
              </w:rPr>
              <w:t>供应商资质条件、能力、信誉</w:t>
            </w:r>
          </w:p>
        </w:tc>
        <w:tc>
          <w:tcPr>
            <w:tcW w:w="5817" w:type="dxa"/>
            <w:tcBorders>
              <w:top w:val="single" w:color="auto" w:sz="4" w:space="0"/>
              <w:left w:val="single" w:color="auto" w:sz="4" w:space="0"/>
              <w:bottom w:val="single" w:color="auto" w:sz="4" w:space="0"/>
              <w:right w:val="single" w:color="auto" w:sz="4" w:space="0"/>
            </w:tcBorders>
            <w:vAlign w:val="center"/>
          </w:tcPr>
          <w:p w14:paraId="6322DD21">
            <w:pPr>
              <w:adjustRightInd w:val="0"/>
              <w:snapToGrid w:val="0"/>
              <w:spacing w:line="360" w:lineRule="exact"/>
              <w:rPr>
                <w:rFonts w:hint="eastAsia" w:ascii="宋体" w:hAnsi="宋体" w:eastAsia="宋体" w:cs="宋体"/>
                <w:szCs w:val="21"/>
              </w:rPr>
            </w:pPr>
            <w:r>
              <w:rPr>
                <w:rFonts w:hint="eastAsia" w:ascii="宋体" w:hAnsi="宋体" w:eastAsia="宋体" w:cs="宋体"/>
                <w:szCs w:val="21"/>
              </w:rPr>
              <w:t>本项目采购实行■资格后审 □资格预审</w:t>
            </w:r>
          </w:p>
          <w:p w14:paraId="5A2C53B1">
            <w:pPr>
              <w:adjustRightInd w:val="0"/>
              <w:snapToGrid w:val="0"/>
              <w:spacing w:line="360" w:lineRule="exact"/>
              <w:rPr>
                <w:rFonts w:hint="eastAsia" w:ascii="宋体" w:hAnsi="宋体" w:eastAsia="宋体" w:cs="宋体"/>
                <w:szCs w:val="21"/>
              </w:rPr>
            </w:pPr>
            <w:r>
              <w:rPr>
                <w:rFonts w:hint="eastAsia" w:ascii="宋体" w:hAnsi="宋体" w:eastAsia="宋体" w:cs="宋体"/>
                <w:szCs w:val="21"/>
              </w:rPr>
              <w:t>供应商应具备以下资格条件：</w:t>
            </w:r>
          </w:p>
          <w:p w14:paraId="0171C417">
            <w:pPr>
              <w:autoSpaceDE w:val="0"/>
              <w:autoSpaceDN w:val="0"/>
              <w:adjustRightInd w:val="0"/>
              <w:snapToGrid w:val="0"/>
              <w:spacing w:line="400" w:lineRule="exact"/>
              <w:ind w:firstLine="422" w:firstLineChars="200"/>
              <w:rPr>
                <w:rFonts w:hint="eastAsia" w:ascii="宋体" w:hAnsi="宋体" w:eastAsia="宋体"/>
                <w:b/>
                <w:color w:val="auto"/>
                <w:szCs w:val="21"/>
                <w:highlight w:val="none"/>
                <w:lang w:eastAsia="zh-CN"/>
              </w:rPr>
            </w:pPr>
            <w:r>
              <w:rPr>
                <w:rFonts w:ascii="宋体" w:hAnsi="宋体"/>
                <w:b/>
                <w:color w:val="auto"/>
                <w:szCs w:val="21"/>
                <w:highlight w:val="none"/>
              </w:rPr>
              <w:t>1.营业执照</w:t>
            </w:r>
            <w:r>
              <w:rPr>
                <w:rFonts w:hint="eastAsia" w:ascii="宋体" w:hAnsi="宋体"/>
                <w:b/>
                <w:color w:val="auto"/>
                <w:szCs w:val="21"/>
                <w:highlight w:val="none"/>
                <w:lang w:val="en-US" w:eastAsia="zh-CN"/>
              </w:rPr>
              <w:t>和</w:t>
            </w:r>
            <w:r>
              <w:rPr>
                <w:rFonts w:ascii="宋体" w:hAnsi="宋体"/>
                <w:b/>
                <w:color w:val="auto"/>
                <w:szCs w:val="21"/>
                <w:highlight w:val="none"/>
              </w:rPr>
              <w:t>资质</w:t>
            </w:r>
            <w:r>
              <w:rPr>
                <w:rFonts w:hint="eastAsia" w:ascii="宋体" w:hAnsi="宋体"/>
                <w:b/>
                <w:color w:val="auto"/>
                <w:szCs w:val="21"/>
                <w:highlight w:val="none"/>
              </w:rPr>
              <w:t>要求</w:t>
            </w:r>
          </w:p>
          <w:p w14:paraId="723C2CEF">
            <w:pPr>
              <w:autoSpaceDE w:val="0"/>
              <w:autoSpaceDN w:val="0"/>
              <w:adjustRightInd w:val="0"/>
              <w:snapToGrid w:val="0"/>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ascii="宋体" w:hAnsi="宋体"/>
                <w:color w:val="auto"/>
                <w:szCs w:val="21"/>
                <w:highlight w:val="none"/>
              </w:rPr>
              <w:t>具备有效的营业执照</w:t>
            </w:r>
            <w:r>
              <w:rPr>
                <w:rFonts w:hint="eastAsia" w:ascii="宋体" w:hAnsi="宋体"/>
                <w:color w:val="auto"/>
                <w:szCs w:val="21"/>
                <w:highlight w:val="none"/>
                <w:lang w:eastAsia="zh-CN"/>
              </w:rPr>
              <w:t>；</w:t>
            </w:r>
          </w:p>
          <w:p w14:paraId="3B17F9BA">
            <w:pPr>
              <w:autoSpaceDE w:val="0"/>
              <w:autoSpaceDN w:val="0"/>
              <w:adjustRightInd w:val="0"/>
              <w:snapToGrid w:val="0"/>
              <w:spacing w:line="400" w:lineRule="exact"/>
              <w:ind w:firstLine="420" w:firstLineChars="200"/>
              <w:rPr>
                <w:rFonts w:hint="eastAsia" w:ascii="宋体" w:hAnsi="宋体"/>
                <w:color w:val="auto"/>
                <w:highlight w:val="yellow"/>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2</w:t>
            </w:r>
            <w:r>
              <w:rPr>
                <w:rFonts w:hint="eastAsia" w:ascii="宋体" w:hAnsi="宋体"/>
                <w:color w:val="auto"/>
                <w:szCs w:val="21"/>
                <w:highlight w:val="none"/>
                <w:lang w:eastAsia="zh-CN"/>
              </w:rPr>
              <w:t>）</w:t>
            </w:r>
            <w:r>
              <w:rPr>
                <w:rFonts w:ascii="宋体" w:hAnsi="宋体"/>
                <w:color w:val="auto"/>
                <w:szCs w:val="21"/>
                <w:highlight w:val="yellow"/>
              </w:rPr>
              <w:t>具备</w:t>
            </w:r>
            <w:r>
              <w:rPr>
                <w:rFonts w:hint="eastAsia" w:ascii="宋体" w:hAnsi="宋体"/>
                <w:color w:val="auto"/>
                <w:szCs w:val="21"/>
                <w:highlight w:val="yellow"/>
              </w:rPr>
              <w:t>有效的</w:t>
            </w:r>
            <w:r>
              <w:rPr>
                <w:rFonts w:hint="eastAsia" w:ascii="宋体" w:hAnsi="宋体"/>
                <w:b w:val="0"/>
                <w:bCs w:val="0"/>
                <w:snapToGrid w:val="0"/>
                <w:color w:val="auto"/>
                <w:kern w:val="0"/>
                <w:szCs w:val="21"/>
                <w:highlight w:val="yellow"/>
              </w:rPr>
              <w:t>产品性能检测合格报告或产品质量检测报告</w:t>
            </w:r>
            <w:r>
              <w:rPr>
                <w:rFonts w:hint="eastAsia" w:ascii="宋体" w:hAnsi="宋体"/>
                <w:b w:val="0"/>
                <w:bCs w:val="0"/>
                <w:snapToGrid w:val="0"/>
                <w:color w:val="auto"/>
                <w:kern w:val="0"/>
                <w:szCs w:val="21"/>
                <w:highlight w:val="yellow"/>
                <w:lang w:eastAsia="zh-CN"/>
              </w:rPr>
              <w:t>。</w:t>
            </w:r>
          </w:p>
          <w:p w14:paraId="7E88BE5C">
            <w:pPr>
              <w:autoSpaceDE w:val="0"/>
              <w:autoSpaceDN w:val="0"/>
              <w:adjustRightInd w:val="0"/>
              <w:snapToGrid w:val="0"/>
              <w:spacing w:line="400" w:lineRule="exact"/>
              <w:ind w:firstLine="420" w:firstLineChars="200"/>
              <w:rPr>
                <w:rFonts w:hint="eastAsia"/>
                <w:color w:val="auto"/>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提供有效的营业执照</w:t>
            </w:r>
            <w:r>
              <w:rPr>
                <w:rFonts w:hint="eastAsia" w:ascii="宋体" w:hAnsi="宋体"/>
                <w:color w:val="auto"/>
                <w:szCs w:val="21"/>
                <w:highlight w:val="none"/>
                <w:lang w:eastAsia="zh-CN"/>
              </w:rPr>
              <w:t>、</w:t>
            </w:r>
            <w:r>
              <w:rPr>
                <w:rFonts w:hint="eastAsia" w:ascii="宋体" w:hAnsi="宋体"/>
                <w:b w:val="0"/>
                <w:bCs w:val="0"/>
                <w:snapToGrid w:val="0"/>
                <w:color w:val="auto"/>
                <w:kern w:val="0"/>
                <w:szCs w:val="21"/>
                <w:highlight w:val="none"/>
              </w:rPr>
              <w:t>产品性能检测合格报告或产品质量检测报告</w:t>
            </w:r>
            <w:r>
              <w:rPr>
                <w:rFonts w:hint="eastAsia" w:ascii="宋体" w:hAnsi="宋体"/>
                <w:color w:val="auto"/>
                <w:szCs w:val="21"/>
                <w:highlight w:val="none"/>
                <w:lang w:val="en-US" w:eastAsia="zh-CN"/>
              </w:rPr>
              <w:t>以及制造商资格声明</w:t>
            </w:r>
            <w:r>
              <w:rPr>
                <w:rFonts w:ascii="宋体" w:hAnsi="宋体"/>
                <w:color w:val="auto"/>
                <w:szCs w:val="21"/>
                <w:highlight w:val="none"/>
              </w:rPr>
              <w:t>。</w:t>
            </w:r>
            <w:r>
              <w:rPr>
                <w:rFonts w:hint="eastAsia"/>
                <w:color w:val="auto"/>
                <w:highlight w:val="none"/>
              </w:rPr>
              <w:t>注：不得将营业执照记载的经营范围作为评审因素。</w:t>
            </w:r>
          </w:p>
          <w:p w14:paraId="37F2D947">
            <w:pPr>
              <w:autoSpaceDE w:val="0"/>
              <w:autoSpaceDN w:val="0"/>
              <w:adjustRightInd w:val="0"/>
              <w:snapToGrid w:val="0"/>
              <w:spacing w:line="400" w:lineRule="exact"/>
              <w:ind w:firstLine="422" w:firstLineChars="200"/>
              <w:rPr>
                <w:rFonts w:hint="default"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2.</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lang w:val="en-US" w:eastAsia="zh-CN"/>
              </w:rPr>
              <w:t>投标货物制造商业绩：</w:t>
            </w:r>
          </w:p>
          <w:p w14:paraId="1DC635EB">
            <w:pPr>
              <w:autoSpaceDE w:val="0"/>
              <w:autoSpaceDN w:val="0"/>
              <w:adjustRightInd w:val="0"/>
              <w:snapToGrid w:val="0"/>
              <w:spacing w:line="400" w:lineRule="exact"/>
              <w:ind w:firstLine="420" w:firstLineChars="200"/>
              <w:rPr>
                <w:rFonts w:hint="eastAsia" w:ascii="宋体" w:hAnsi="宋体"/>
                <w:color w:val="auto"/>
                <w:szCs w:val="21"/>
                <w:highlight w:val="none"/>
                <w:u w:val="none"/>
                <w:lang w:val="en-US" w:eastAsia="zh-CN"/>
              </w:rPr>
            </w:pPr>
            <w:r>
              <w:rPr>
                <w:rFonts w:hint="eastAsia" w:ascii="宋体" w:hAnsi="宋体"/>
                <w:color w:val="auto"/>
                <w:szCs w:val="21"/>
                <w:highlight w:val="none"/>
                <w:lang w:val="en-US" w:eastAsia="zh-CN"/>
              </w:rPr>
              <w:t>投标货物制造商自</w:t>
            </w:r>
            <w:r>
              <w:rPr>
                <w:rFonts w:hint="eastAsia" w:ascii="宋体" w:hAnsi="宋体"/>
                <w:color w:val="1E32F2"/>
                <w:szCs w:val="21"/>
                <w:highlight w:val="none"/>
                <w:u w:val="single"/>
              </w:rPr>
              <w:t xml:space="preserve"> </w:t>
            </w:r>
            <w:r>
              <w:rPr>
                <w:rFonts w:hint="eastAsia" w:ascii="宋体" w:hAnsi="宋体"/>
                <w:color w:val="1E32F2"/>
                <w:szCs w:val="21"/>
                <w:highlight w:val="none"/>
                <w:u w:val="single"/>
                <w:lang w:val="en-US" w:eastAsia="zh-CN"/>
              </w:rPr>
              <w:t xml:space="preserve">2021 </w:t>
            </w:r>
            <w:r>
              <w:rPr>
                <w:rFonts w:hint="eastAsia" w:ascii="宋体" w:hAnsi="宋体"/>
                <w:color w:val="auto"/>
                <w:szCs w:val="21"/>
                <w:highlight w:val="none"/>
              </w:rPr>
              <w:t>年1月1日起至投标截止日止（以</w:t>
            </w:r>
            <w:r>
              <w:rPr>
                <w:rFonts w:hint="eastAsia" w:ascii="宋体" w:hAnsi="宋体"/>
                <w:color w:val="auto"/>
                <w:szCs w:val="21"/>
                <w:highlight w:val="none"/>
                <w:lang w:val="en-US" w:eastAsia="zh-CN"/>
              </w:rPr>
              <w:t>合同签订</w:t>
            </w:r>
            <w:r>
              <w:rPr>
                <w:rFonts w:hint="eastAsia" w:ascii="宋体" w:hAnsi="宋体"/>
                <w:color w:val="auto"/>
                <w:szCs w:val="21"/>
                <w:highlight w:val="none"/>
              </w:rPr>
              <w:t>时间为准）</w:t>
            </w:r>
            <w:r>
              <w:rPr>
                <w:rFonts w:hint="eastAsia" w:ascii="宋体" w:hAnsi="宋体"/>
                <w:color w:val="auto"/>
                <w:szCs w:val="21"/>
                <w:highlight w:val="none"/>
                <w:lang w:val="en-US" w:eastAsia="zh-CN"/>
              </w:rPr>
              <w:t>具有1个</w:t>
            </w:r>
            <w:r>
              <w:rPr>
                <w:rFonts w:hint="eastAsia" w:ascii="宋体" w:hAnsi="宋体"/>
                <w:color w:val="auto"/>
                <w:szCs w:val="21"/>
                <w:highlight w:val="none"/>
                <w:u w:val="none"/>
                <w:lang w:val="en-US" w:eastAsia="zh-CN"/>
              </w:rPr>
              <w:t>向使用单位供货的</w:t>
            </w:r>
            <w:r>
              <w:rPr>
                <w:rFonts w:hint="eastAsia" w:ascii="宋体" w:hAnsi="宋体"/>
                <w:color w:val="auto"/>
                <w:szCs w:val="21"/>
                <w:highlight w:val="none"/>
                <w:lang w:val="en-US" w:eastAsia="zh-CN"/>
              </w:rPr>
              <w:t>满足下列要求的</w:t>
            </w:r>
            <w:r>
              <w:rPr>
                <w:rFonts w:hint="eastAsia" w:ascii="宋体" w:hAnsi="宋体"/>
                <w:color w:val="auto"/>
                <w:szCs w:val="21"/>
                <w:highlight w:val="none"/>
                <w:u w:val="single"/>
                <w:lang w:val="en-US" w:eastAsia="zh-CN"/>
              </w:rPr>
              <w:t xml:space="preserve"> </w:t>
            </w:r>
            <w:r>
              <w:rPr>
                <w:rFonts w:hint="eastAsia" w:ascii="宋体" w:hAnsi="宋体"/>
                <w:color w:val="253DF3"/>
                <w:szCs w:val="21"/>
                <w:highlight w:val="none"/>
                <w:u w:val="single"/>
                <w:lang w:val="en-US" w:eastAsia="zh-CN"/>
              </w:rPr>
              <w:t xml:space="preserve">10千伏并联电容器 </w:t>
            </w:r>
            <w:r>
              <w:rPr>
                <w:rFonts w:hint="eastAsia" w:ascii="宋体" w:hAnsi="宋体"/>
                <w:color w:val="auto"/>
                <w:szCs w:val="21"/>
                <w:highlight w:val="none"/>
                <w:u w:val="none"/>
                <w:lang w:val="en-US" w:eastAsia="zh-CN"/>
              </w:rPr>
              <w:t>供货业绩。</w:t>
            </w:r>
          </w:p>
          <w:p w14:paraId="6D97D284">
            <w:pPr>
              <w:numPr>
                <w:ilvl w:val="0"/>
                <w:numId w:val="2"/>
              </w:numPr>
              <w:autoSpaceDE w:val="0"/>
              <w:autoSpaceDN w:val="0"/>
              <w:adjustRightInd w:val="0"/>
              <w:snapToGrid w:val="0"/>
              <w:spacing w:line="400" w:lineRule="exact"/>
              <w:ind w:firstLine="420" w:firstLineChars="200"/>
              <w:rPr>
                <w:rFonts w:hint="eastAsia" w:ascii="宋体" w:hAnsi="宋体"/>
                <w:iCs/>
                <w:color w:val="auto"/>
                <w:szCs w:val="21"/>
                <w:highlight w:val="none"/>
                <w:u w:val="none"/>
              </w:rPr>
            </w:pPr>
            <w:r>
              <w:rPr>
                <w:rFonts w:hint="eastAsia" w:ascii="宋体" w:hAnsi="宋体"/>
                <w:iCs/>
                <w:color w:val="auto"/>
                <w:szCs w:val="21"/>
                <w:highlight w:val="none"/>
                <w:lang w:val="en-US" w:eastAsia="zh-CN"/>
              </w:rPr>
              <w:t>合同金额达到</w:t>
            </w:r>
            <w:r>
              <w:rPr>
                <w:rFonts w:hint="eastAsia" w:ascii="宋体" w:hAnsi="宋体"/>
                <w:iCs/>
                <w:color w:val="auto"/>
                <w:szCs w:val="21"/>
                <w:highlight w:val="none"/>
              </w:rPr>
              <w:t>：</w:t>
            </w:r>
            <w:r>
              <w:rPr>
                <w:rFonts w:hint="eastAsia" w:ascii="宋体" w:hAnsi="宋体"/>
                <w:iCs/>
                <w:color w:val="1E32F2"/>
                <w:szCs w:val="21"/>
                <w:highlight w:val="none"/>
                <w:u w:val="single"/>
              </w:rPr>
              <w:t xml:space="preserve"> </w:t>
            </w:r>
            <w:r>
              <w:rPr>
                <w:rFonts w:hint="eastAsia" w:ascii="宋体" w:hAnsi="宋体"/>
                <w:iCs/>
                <w:color w:val="1E32F2"/>
                <w:szCs w:val="21"/>
                <w:highlight w:val="none"/>
                <w:u w:val="single"/>
                <w:lang w:val="en-US" w:eastAsia="zh-CN"/>
              </w:rPr>
              <w:t>130</w:t>
            </w:r>
            <w:r>
              <w:rPr>
                <w:rFonts w:hint="eastAsia" w:ascii="宋体" w:hAnsi="宋体" w:eastAsia="宋体" w:cs="Times New Roman"/>
                <w:color w:val="1E32F2"/>
                <w:szCs w:val="21"/>
                <w:highlight w:val="none"/>
                <w:u w:val="single"/>
                <w:lang w:val="en-US" w:eastAsia="zh-CN"/>
              </w:rPr>
              <w:t xml:space="preserve">万元 </w:t>
            </w:r>
            <w:r>
              <w:rPr>
                <w:rFonts w:hint="eastAsia" w:ascii="宋体" w:hAnsi="宋体"/>
                <w:iCs/>
                <w:color w:val="FF0000"/>
                <w:szCs w:val="21"/>
                <w:highlight w:val="none"/>
                <w:u w:val="none"/>
              </w:rPr>
              <w:t>（</w:t>
            </w:r>
            <w:r>
              <w:rPr>
                <w:rFonts w:hint="eastAsia" w:ascii="宋体" w:hAnsi="宋体"/>
                <w:iCs/>
                <w:color w:val="auto"/>
                <w:szCs w:val="21"/>
                <w:highlight w:val="none"/>
                <w:u w:val="none"/>
              </w:rPr>
              <w:t>注：提供</w:t>
            </w:r>
            <w:r>
              <w:rPr>
                <w:rFonts w:hint="eastAsia" w:ascii="宋体" w:hAnsi="宋体"/>
                <w:color w:val="auto"/>
                <w:szCs w:val="21"/>
                <w:highlight w:val="none"/>
                <w:u w:val="none"/>
                <w:lang w:val="en-US" w:eastAsia="zh-CN"/>
              </w:rPr>
              <w:t>的业绩包含本次投标货物类别和其他货物类别</w:t>
            </w:r>
            <w:r>
              <w:rPr>
                <w:rFonts w:hint="eastAsia" w:ascii="宋体" w:hAnsi="宋体"/>
                <w:iCs/>
                <w:color w:val="auto"/>
                <w:szCs w:val="21"/>
                <w:highlight w:val="none"/>
                <w:u w:val="none"/>
              </w:rPr>
              <w:t>的，</w:t>
            </w:r>
            <w:r>
              <w:rPr>
                <w:rFonts w:hint="eastAsia" w:ascii="宋体" w:hAnsi="宋体"/>
                <w:iCs/>
                <w:color w:val="auto"/>
                <w:szCs w:val="21"/>
                <w:highlight w:val="none"/>
                <w:u w:val="none"/>
                <w:lang w:val="en-US" w:eastAsia="zh-CN"/>
              </w:rPr>
              <w:t>业绩中的本次投标货物类别部分</w:t>
            </w:r>
            <w:r>
              <w:rPr>
                <w:rFonts w:hint="eastAsia" w:ascii="宋体" w:hAnsi="宋体"/>
                <w:iCs/>
                <w:color w:val="auto"/>
                <w:szCs w:val="21"/>
                <w:highlight w:val="none"/>
                <w:u w:val="none"/>
              </w:rPr>
              <w:t>的合同金额须达到该金额要求）</w:t>
            </w:r>
          </w:p>
          <w:p w14:paraId="449B7B3E">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业绩证明材料要求：</w:t>
            </w:r>
          </w:p>
          <w:p w14:paraId="06C8CBFA">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投标人须在投标文件资格审查部分提供该业绩的合同协议书</w:t>
            </w:r>
            <w:r>
              <w:rPr>
                <w:rFonts w:hint="eastAsia" w:ascii="宋体" w:hAnsi="宋体"/>
                <w:color w:val="auto"/>
                <w:szCs w:val="21"/>
                <w:highlight w:val="none"/>
                <w:lang w:val="en-US" w:eastAsia="zh-CN"/>
              </w:rPr>
              <w:t>和完成供货证明。</w:t>
            </w:r>
            <w:r>
              <w:rPr>
                <w:rFonts w:hint="eastAsia" w:ascii="宋体" w:hAnsi="宋体" w:eastAsia="宋体" w:cs="宋体"/>
                <w:color w:val="auto"/>
                <w:kern w:val="0"/>
                <w:sz w:val="22"/>
                <w:szCs w:val="21"/>
                <w:highlight w:val="none"/>
              </w:rPr>
              <w:t>（</w:t>
            </w:r>
            <w:r>
              <w:rPr>
                <w:rFonts w:hint="eastAsia" w:ascii="宋体" w:hAnsi="宋体" w:eastAsia="宋体" w:cs="宋体"/>
                <w:color w:val="auto"/>
                <w:kern w:val="0"/>
                <w:sz w:val="22"/>
                <w:szCs w:val="21"/>
                <w:highlight w:val="none"/>
                <w:lang w:val="en-US" w:eastAsia="zh-CN"/>
              </w:rPr>
              <w:t>合同协议书提供</w:t>
            </w:r>
            <w:r>
              <w:rPr>
                <w:rFonts w:hint="eastAsia" w:ascii="宋体" w:hAnsi="宋体" w:eastAsia="宋体" w:cs="宋体"/>
                <w:bCs/>
                <w:color w:val="auto"/>
                <w:kern w:val="0"/>
                <w:sz w:val="22"/>
                <w:highlight w:val="none"/>
              </w:rPr>
              <w:t>关键页</w:t>
            </w:r>
            <w:r>
              <w:rPr>
                <w:rFonts w:hint="eastAsia" w:ascii="宋体" w:hAnsi="宋体" w:eastAsia="宋体" w:cs="宋体"/>
                <w:bCs/>
                <w:color w:val="auto"/>
                <w:kern w:val="0"/>
                <w:sz w:val="22"/>
                <w:highlight w:val="none"/>
                <w:lang w:val="en-US" w:eastAsia="zh-CN"/>
              </w:rPr>
              <w:t>即可</w:t>
            </w:r>
            <w:r>
              <w:rPr>
                <w:rFonts w:hint="eastAsia" w:ascii="宋体" w:hAnsi="宋体" w:eastAsia="宋体" w:cs="宋体"/>
                <w:bCs/>
                <w:color w:val="auto"/>
                <w:kern w:val="0"/>
                <w:sz w:val="22"/>
                <w:highlight w:val="none"/>
                <w:lang w:eastAsia="zh-CN"/>
              </w:rPr>
              <w:t>，</w:t>
            </w:r>
            <w:r>
              <w:rPr>
                <w:rFonts w:hint="eastAsia" w:ascii="宋体" w:hAnsi="宋体" w:eastAsia="宋体" w:cs="宋体"/>
                <w:bCs/>
                <w:color w:val="auto"/>
                <w:kern w:val="0"/>
                <w:sz w:val="22"/>
                <w:highlight w:val="none"/>
                <w:lang w:val="en-US" w:eastAsia="zh-CN"/>
              </w:rPr>
              <w:t>包括但不限于</w:t>
            </w:r>
            <w:r>
              <w:rPr>
                <w:rFonts w:hint="eastAsia" w:ascii="宋体" w:hAnsi="宋体" w:eastAsia="宋体" w:cs="宋体"/>
                <w:bCs/>
                <w:color w:val="auto"/>
                <w:kern w:val="0"/>
                <w:sz w:val="22"/>
                <w:highlight w:val="none"/>
              </w:rPr>
              <w:t>首页、尾页、签章页、主要商务条款页，</w:t>
            </w:r>
            <w:r>
              <w:rPr>
                <w:rFonts w:hint="eastAsia" w:ascii="宋体" w:hAnsi="宋体" w:eastAsia="宋体" w:cs="宋体"/>
                <w:bCs/>
                <w:color w:val="auto"/>
                <w:kern w:val="0"/>
                <w:sz w:val="22"/>
                <w:highlight w:val="none"/>
                <w:lang w:val="en-US" w:eastAsia="zh-CN"/>
              </w:rPr>
              <w:t>关键页需能充分体现以上业绩要求各项要素；完成供货证明为以下材料之一：</w:t>
            </w:r>
            <w:r>
              <w:rPr>
                <w:rFonts w:hint="eastAsia" w:ascii="宋体" w:hAnsi="宋体" w:eastAsia="宋体" w:cs="宋体"/>
                <w:color w:val="auto"/>
                <w:kern w:val="0"/>
                <w:sz w:val="22"/>
                <w:szCs w:val="21"/>
                <w:highlight w:val="none"/>
                <w:u w:val="single"/>
              </w:rPr>
              <w:t>使用单位验收报告、使用单位入库单、使用单位验收单</w:t>
            </w:r>
            <w:r>
              <w:rPr>
                <w:rFonts w:hint="eastAsia" w:ascii="宋体" w:hAnsi="宋体" w:eastAsia="宋体" w:cs="宋体"/>
                <w:color w:val="auto"/>
                <w:kern w:val="0"/>
                <w:sz w:val="22"/>
                <w:szCs w:val="21"/>
                <w:highlight w:val="none"/>
                <w:u w:val="single"/>
                <w:lang w:eastAsia="zh-CN"/>
              </w:rPr>
              <w:t>、</w:t>
            </w:r>
            <w:r>
              <w:rPr>
                <w:rFonts w:hint="eastAsia" w:ascii="宋体" w:hAnsi="宋体" w:eastAsia="宋体" w:cs="宋体"/>
                <w:color w:val="auto"/>
                <w:kern w:val="0"/>
                <w:sz w:val="22"/>
                <w:szCs w:val="21"/>
                <w:highlight w:val="none"/>
                <w:u w:val="single"/>
                <w:lang w:val="en-US" w:eastAsia="zh-CN"/>
              </w:rPr>
              <w:t>供货发票</w:t>
            </w:r>
            <w:r>
              <w:rPr>
                <w:rFonts w:hint="eastAsia" w:ascii="宋体" w:hAnsi="宋体" w:eastAsia="宋体" w:cs="宋体"/>
                <w:color w:val="auto"/>
                <w:kern w:val="0"/>
                <w:sz w:val="22"/>
                <w:szCs w:val="21"/>
                <w:highlight w:val="none"/>
                <w:lang w:eastAsia="zh-CN"/>
              </w:rPr>
              <w:t>。</w:t>
            </w:r>
            <w:r>
              <w:rPr>
                <w:rFonts w:hint="eastAsia" w:ascii="宋体" w:hAnsi="宋体"/>
                <w:color w:val="auto"/>
                <w:szCs w:val="21"/>
                <w:highlight w:val="none"/>
              </w:rPr>
              <w:t>若提供的上述业绩证明材料无法体现</w:t>
            </w:r>
            <w:r>
              <w:rPr>
                <w:rFonts w:hint="eastAsia" w:ascii="宋体" w:hAnsi="宋体"/>
                <w:color w:val="auto"/>
                <w:szCs w:val="21"/>
                <w:highlight w:val="none"/>
                <w:lang w:val="en-US" w:eastAsia="zh-CN"/>
              </w:rPr>
              <w:t>技术指标要求（如有）</w:t>
            </w:r>
            <w:r>
              <w:rPr>
                <w:rFonts w:hint="eastAsia" w:ascii="宋体" w:hAnsi="宋体"/>
                <w:color w:val="auto"/>
                <w:szCs w:val="21"/>
                <w:highlight w:val="none"/>
              </w:rPr>
              <w:t>的，还须提供</w:t>
            </w:r>
            <w:r>
              <w:rPr>
                <w:rFonts w:hint="eastAsia" w:ascii="宋体" w:hAnsi="宋体"/>
                <w:color w:val="auto"/>
                <w:szCs w:val="21"/>
                <w:highlight w:val="none"/>
                <w:lang w:val="en-US" w:eastAsia="zh-CN"/>
              </w:rPr>
              <w:t>该业绩的</w:t>
            </w:r>
            <w:r>
              <w:rPr>
                <w:rFonts w:hint="eastAsia" w:ascii="宋体" w:hAnsi="宋体"/>
                <w:color w:val="auto"/>
                <w:szCs w:val="21"/>
                <w:highlight w:val="none"/>
              </w:rPr>
              <w:t>业主证明。</w:t>
            </w:r>
          </w:p>
          <w:p w14:paraId="03D55ACB">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注：</w:t>
            </w:r>
          </w:p>
          <w:p w14:paraId="67850049">
            <w:pPr>
              <w:autoSpaceDE w:val="0"/>
              <w:autoSpaceDN w:val="0"/>
              <w:adjustRightInd w:val="0"/>
              <w:snapToGrid w:val="0"/>
              <w:spacing w:line="400" w:lineRule="exact"/>
              <w:ind w:firstLine="415" w:firstLineChars="198"/>
              <w:rPr>
                <w:rFonts w:hint="default" w:ascii="宋体" w:hAnsi="宋体" w:eastAsia="宋体"/>
                <w:color w:val="auto"/>
                <w:szCs w:val="21"/>
                <w:highlight w:val="none"/>
                <w:lang w:val="en-US"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使用单位包括使用该货物的施工单位或者业主单位。</w:t>
            </w:r>
          </w:p>
          <w:p w14:paraId="1D4459D1">
            <w:pPr>
              <w:autoSpaceDE w:val="0"/>
              <w:autoSpaceDN w:val="0"/>
              <w:adjustRightInd w:val="0"/>
              <w:snapToGrid w:val="0"/>
              <w:spacing w:line="400" w:lineRule="exact"/>
              <w:ind w:firstLine="415" w:firstLineChars="198"/>
              <w:rPr>
                <w:rFonts w:hint="default" w:ascii="宋体" w:hAnsi="宋体" w:eastAsia="宋体"/>
                <w:color w:val="auto"/>
                <w:szCs w:val="21"/>
                <w:highlight w:val="none"/>
                <w:lang w:val="en-US"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投标人提供的上述业绩中的货物品牌应与本次投标货物品牌一致。</w:t>
            </w:r>
          </w:p>
          <w:p w14:paraId="4E93117E">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color w:val="auto"/>
                <w:highlight w:val="none"/>
              </w:rPr>
              <w:t>投标人提供的</w:t>
            </w:r>
            <w:r>
              <w:rPr>
                <w:rFonts w:hint="eastAsia"/>
                <w:color w:val="auto"/>
                <w:highlight w:val="none"/>
                <w:lang w:val="en-US" w:eastAsia="zh-CN"/>
              </w:rPr>
              <w:t>上述</w:t>
            </w:r>
            <w:r>
              <w:rPr>
                <w:rFonts w:hint="eastAsia"/>
                <w:color w:val="auto"/>
                <w:highlight w:val="none"/>
              </w:rPr>
              <w:t>业绩为联合体业绩的，其在该业绩中的工作分工应与本项目承担的工作一致。</w:t>
            </w:r>
          </w:p>
          <w:p w14:paraId="7800C382">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不满足上述业绩要求的业绩</w:t>
            </w:r>
            <w:r>
              <w:rPr>
                <w:rFonts w:hint="eastAsia" w:ascii="宋体" w:hAnsi="宋体"/>
                <w:color w:val="auto"/>
                <w:szCs w:val="21"/>
                <w:highlight w:val="none"/>
                <w:lang w:val="en-US" w:eastAsia="zh-CN"/>
              </w:rPr>
              <w:t>视为</w:t>
            </w:r>
            <w:r>
              <w:rPr>
                <w:rFonts w:hint="eastAsia" w:ascii="宋体" w:hAnsi="宋体"/>
                <w:color w:val="auto"/>
                <w:szCs w:val="21"/>
                <w:highlight w:val="none"/>
              </w:rPr>
              <w:t>无效。</w:t>
            </w:r>
          </w:p>
          <w:p w14:paraId="44480ED1">
            <w:pPr>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lang w:val="en-US" w:eastAsia="zh-CN"/>
              </w:rPr>
              <w:t>3</w:t>
            </w:r>
            <w:r>
              <w:rPr>
                <w:rFonts w:ascii="宋体" w:hAnsi="宋体"/>
                <w:b/>
                <w:color w:val="auto"/>
                <w:szCs w:val="21"/>
                <w:highlight w:val="none"/>
              </w:rPr>
              <w:t>.</w:t>
            </w:r>
            <w:r>
              <w:rPr>
                <w:rFonts w:hint="eastAsia" w:ascii="宋体" w:hAnsi="宋体"/>
                <w:b/>
                <w:color w:val="auto"/>
                <w:szCs w:val="21"/>
                <w:highlight w:val="none"/>
                <w:lang w:val="en-US" w:eastAsia="zh-CN"/>
              </w:rPr>
              <w:t>信誉要求</w:t>
            </w:r>
          </w:p>
          <w:p w14:paraId="11E4414C">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投标人不得存在下列情形之一：</w:t>
            </w:r>
          </w:p>
          <w:p w14:paraId="45589988">
            <w:pPr>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15130E88">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2AC2CD9E">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（3）被列入《重庆市工程建设领域招标投标信用管理暂行办法》规定的重庆市工程建设领域招标投标失信惩戒对象名单（以下称黑名单）且在记分有效期内；</w:t>
            </w:r>
          </w:p>
          <w:p w14:paraId="120165A9">
            <w:pPr>
              <w:snapToGrid w:val="0"/>
              <w:spacing w:line="400" w:lineRule="exact"/>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（4）被国家、重庆市（含市或任意区县）有关行政部门处以暂停投标资格行政处罚或暂停在渝承揽新业务，且在暂停期限内</w:t>
            </w:r>
            <w:r>
              <w:rPr>
                <w:rFonts w:hint="eastAsia" w:ascii="宋体" w:hAnsi="宋体"/>
                <w:color w:val="auto"/>
                <w:szCs w:val="21"/>
                <w:highlight w:val="none"/>
                <w:lang w:eastAsia="zh-CN"/>
              </w:rPr>
              <w:t>。</w:t>
            </w:r>
          </w:p>
          <w:p w14:paraId="5D6D3424">
            <w:pPr>
              <w:pStyle w:val="2"/>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被列入华中能监管理区域内国家电网有限公司不良行为公示名单，且在影响期内。</w:t>
            </w:r>
          </w:p>
          <w:p w14:paraId="42671D4F">
            <w:pPr>
              <w:snapToGrid w:val="0"/>
              <w:spacing w:line="400" w:lineRule="exact"/>
              <w:ind w:firstLine="420" w:firstLineChars="200"/>
              <w:rPr>
                <w:rFonts w:ascii="宋体" w:hAnsi="宋体"/>
                <w:color w:val="auto"/>
                <w:szCs w:val="21"/>
                <w:highlight w:val="none"/>
              </w:rPr>
            </w:pPr>
            <w:r>
              <w:rPr>
                <w:rFonts w:hint="eastAsia"/>
                <w:color w:val="auto"/>
                <w:highlight w:val="none"/>
              </w:rPr>
              <w:t>投标人须在投标文件资格审查部分提供承诺（格式见第六章投标文件格式）。</w:t>
            </w:r>
          </w:p>
          <w:p w14:paraId="42477DFB">
            <w:pPr>
              <w:snapToGrid w:val="0"/>
              <w:spacing w:line="400" w:lineRule="exact"/>
              <w:ind w:firstLine="420" w:firstLineChars="200"/>
              <w:rPr>
                <w:color w:val="auto"/>
                <w:highlight w:val="none"/>
              </w:rPr>
            </w:pPr>
            <w:r>
              <w:rPr>
                <w:rFonts w:hint="eastAsia"/>
                <w:color w:val="auto"/>
                <w:highlight w:val="none"/>
              </w:rPr>
              <w:t>上述第（2）、（3）款信用状况在开标环节进行查询，查询结果交由评标委员会评审，若投标人针对上述第（2）、（3）款的承诺内容与查询结果不符，由评标委员会作否决投标处理。</w:t>
            </w:r>
          </w:p>
          <w:p w14:paraId="52FBD589">
            <w:pPr>
              <w:snapToGrid w:val="0"/>
              <w:spacing w:line="400" w:lineRule="exact"/>
              <w:ind w:firstLine="420" w:firstLineChars="200"/>
              <w:rPr>
                <w:color w:val="auto"/>
                <w:highlight w:val="none"/>
              </w:rPr>
            </w:pPr>
            <w:r>
              <w:rPr>
                <w:rFonts w:hint="eastAsia"/>
                <w:color w:val="auto"/>
                <w:highlight w:val="none"/>
              </w:rPr>
              <w:t>注：投标人是否因有不良行为记分、进入重点关注名单或黑名单而被限制投标的，以开标环节信用状况查询结果为准。</w:t>
            </w:r>
          </w:p>
          <w:p w14:paraId="328494C4">
            <w:pPr>
              <w:autoSpaceDE w:val="0"/>
              <w:autoSpaceDN w:val="0"/>
              <w:adjustRightInd w:val="0"/>
              <w:snapToGrid w:val="0"/>
              <w:spacing w:line="400" w:lineRule="exact"/>
              <w:ind w:firstLine="422" w:firstLineChars="200"/>
              <w:rPr>
                <w:color w:val="auto"/>
                <w:highlight w:val="none"/>
              </w:rPr>
            </w:pPr>
            <w:r>
              <w:rPr>
                <w:rFonts w:hint="eastAsia" w:ascii="宋体" w:hAnsi="宋体"/>
                <w:b/>
                <w:color w:val="auto"/>
                <w:szCs w:val="21"/>
                <w:highlight w:val="none"/>
                <w:lang w:val="en-US" w:eastAsia="zh-CN"/>
              </w:rPr>
              <w:t>4</w:t>
            </w:r>
            <w:r>
              <w:rPr>
                <w:rFonts w:ascii="宋体" w:hAnsi="宋体"/>
                <w:b/>
                <w:color w:val="auto"/>
                <w:szCs w:val="21"/>
                <w:highlight w:val="none"/>
              </w:rPr>
              <w:t>.其他要求</w:t>
            </w:r>
          </w:p>
          <w:p w14:paraId="39392C04">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lang w:val="en-US" w:eastAsia="zh-CN"/>
              </w:rPr>
              <w:t>1</w:t>
            </w:r>
            <w:r>
              <w:rPr>
                <w:rFonts w:hint="eastAsia" w:ascii="宋体" w:hAnsi="宋体" w:cs="宋体"/>
                <w:b w:val="0"/>
                <w:bCs/>
                <w:color w:val="auto"/>
                <w:szCs w:val="21"/>
                <w:highlight w:val="none"/>
                <w:lang w:eastAsia="zh-CN"/>
              </w:rPr>
              <w:t>）</w:t>
            </w:r>
            <w:r>
              <w:rPr>
                <w:rFonts w:ascii="宋体" w:hAnsi="宋体"/>
                <w:color w:val="auto"/>
                <w:kern w:val="0"/>
                <w:szCs w:val="21"/>
                <w:highlight w:val="none"/>
              </w:rPr>
              <w:t>委托代理人</w:t>
            </w:r>
          </w:p>
          <w:p w14:paraId="67AFE5E5">
            <w:pPr>
              <w:autoSpaceDE w:val="0"/>
              <w:autoSpaceDN w:val="0"/>
              <w:adjustRightInd w:val="0"/>
              <w:snapToGrid w:val="0"/>
              <w:spacing w:line="400" w:lineRule="exact"/>
              <w:ind w:firstLine="420" w:firstLineChars="200"/>
              <w:rPr>
                <w:rFonts w:ascii="宋体" w:hAnsi="宋体"/>
                <w:i w:val="0"/>
                <w:iCs/>
                <w:color w:val="auto"/>
                <w:kern w:val="0"/>
                <w:szCs w:val="21"/>
                <w:highlight w:val="none"/>
              </w:rPr>
            </w:pPr>
            <w:r>
              <w:rPr>
                <w:rFonts w:hint="eastAsia" w:ascii="宋体" w:hAnsi="宋体"/>
                <w:i w:val="0"/>
                <w:iCs/>
                <w:color w:val="auto"/>
                <w:kern w:val="0"/>
                <w:szCs w:val="21"/>
                <w:highlight w:val="none"/>
              </w:rPr>
              <w:t>根据授权委托书的授权范围，委托代理人可以以投标人的名义签署、澄清、说明、补正、递交、撤回、修改本项目投标文件、签订合同和处理有关事宜，其法律后果由投标人承担。</w:t>
            </w:r>
          </w:p>
          <w:p w14:paraId="73208CBA">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w:t>
            </w:r>
            <w:r>
              <w:rPr>
                <w:rFonts w:ascii="宋体" w:hAnsi="宋体"/>
                <w:color w:val="auto"/>
                <w:kern w:val="0"/>
                <w:szCs w:val="21"/>
                <w:highlight w:val="none"/>
              </w:rPr>
              <w:t>须</w:t>
            </w:r>
            <w:r>
              <w:rPr>
                <w:rFonts w:hint="eastAsia" w:ascii="宋体" w:hAnsi="宋体"/>
                <w:color w:val="auto"/>
                <w:kern w:val="0"/>
                <w:szCs w:val="21"/>
                <w:highlight w:val="none"/>
              </w:rPr>
              <w:t>在投标文件资格审查部分</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该委托代理人的授权委托书、</w:t>
            </w:r>
            <w:r>
              <w:rPr>
                <w:rFonts w:hint="eastAsia" w:ascii="宋体" w:hAnsi="宋体"/>
                <w:color w:val="auto"/>
                <w:kern w:val="0"/>
                <w:szCs w:val="21"/>
                <w:highlight w:val="none"/>
              </w:rPr>
              <w:t>投标人为</w:t>
            </w:r>
            <w:r>
              <w:rPr>
                <w:rFonts w:hint="eastAsia" w:ascii="宋体" w:hAnsi="宋体"/>
                <w:color w:val="auto"/>
                <w:kern w:val="0"/>
                <w:szCs w:val="21"/>
                <w:highlight w:val="none"/>
                <w:lang w:val="en-US" w:eastAsia="zh-CN"/>
              </w:rPr>
              <w:t>其</w:t>
            </w:r>
            <w:r>
              <w:rPr>
                <w:rFonts w:hint="eastAsia" w:ascii="宋体" w:hAnsi="宋体"/>
                <w:color w:val="auto"/>
                <w:kern w:val="0"/>
                <w:szCs w:val="21"/>
                <w:highlight w:val="none"/>
              </w:rPr>
              <w:t>缴纳的养老保险证明</w:t>
            </w:r>
            <w:r>
              <w:rPr>
                <w:rFonts w:hint="eastAsia" w:ascii="宋体" w:hAnsi="宋体"/>
                <w:color w:val="auto"/>
                <w:kern w:val="0"/>
                <w:szCs w:val="21"/>
                <w:highlight w:val="none"/>
                <w:lang w:val="en-US" w:eastAsia="zh-CN"/>
              </w:rPr>
              <w:t>材料</w:t>
            </w:r>
            <w:r>
              <w:rPr>
                <w:rFonts w:hint="eastAsia" w:ascii="宋体" w:hAnsi="宋体"/>
                <w:color w:val="auto"/>
                <w:kern w:val="0"/>
                <w:szCs w:val="21"/>
                <w:highlight w:val="none"/>
              </w:rPr>
              <w:t>。</w:t>
            </w:r>
          </w:p>
          <w:p w14:paraId="48D43B05">
            <w:pPr>
              <w:autoSpaceDE w:val="0"/>
              <w:autoSpaceDN w:val="0"/>
              <w:adjustRightInd w:val="0"/>
              <w:snapToGrid w:val="0"/>
              <w:spacing w:line="400" w:lineRule="exact"/>
              <w:ind w:firstLine="415" w:firstLineChars="198"/>
              <w:rPr>
                <w:rFonts w:hint="eastAsia" w:ascii="宋体" w:hAnsi="宋体" w:cs="宋体"/>
                <w:b w:val="0"/>
                <w:bCs/>
                <w:color w:val="auto"/>
                <w:szCs w:val="21"/>
                <w:highlight w:val="none"/>
              </w:rPr>
            </w:pPr>
            <w:r>
              <w:rPr>
                <w:rFonts w:hint="eastAsia" w:ascii="宋体" w:hAnsi="宋体" w:cs="宋体"/>
                <w:b w:val="0"/>
                <w:bCs/>
                <w:color w:val="auto"/>
                <w:szCs w:val="21"/>
                <w:highlight w:val="none"/>
              </w:rPr>
              <w:t>（</w:t>
            </w:r>
            <w:r>
              <w:rPr>
                <w:rFonts w:hint="eastAsia" w:ascii="宋体" w:hAnsi="宋体" w:cs="宋体"/>
                <w:b w:val="0"/>
                <w:bCs/>
                <w:color w:val="auto"/>
                <w:szCs w:val="21"/>
                <w:highlight w:val="none"/>
                <w:lang w:val="en-US" w:eastAsia="zh-CN"/>
              </w:rPr>
              <w:t>2</w:t>
            </w:r>
            <w:r>
              <w:rPr>
                <w:rFonts w:hint="eastAsia" w:ascii="宋体" w:hAnsi="宋体" w:cs="宋体"/>
                <w:b w:val="0"/>
                <w:bCs/>
                <w:color w:val="auto"/>
                <w:szCs w:val="21"/>
                <w:highlight w:val="none"/>
              </w:rPr>
              <w:t>）投标文件中的所有内容真实有效，不存在弄虚作假情形。</w:t>
            </w:r>
          </w:p>
          <w:p w14:paraId="28173C57">
            <w:pPr>
              <w:autoSpaceDE w:val="0"/>
              <w:autoSpaceDN w:val="0"/>
              <w:adjustRightInd w:val="0"/>
              <w:snapToGrid w:val="0"/>
              <w:spacing w:line="400" w:lineRule="exact"/>
              <w:ind w:firstLine="415" w:firstLineChars="198"/>
              <w:rPr>
                <w:rFonts w:hint="eastAsia" w:ascii="宋体" w:hAnsi="宋体" w:cs="宋体"/>
                <w:b w:val="0"/>
                <w:bCs/>
                <w:color w:val="auto"/>
                <w:szCs w:val="21"/>
                <w:highlight w:val="none"/>
              </w:rPr>
            </w:pPr>
            <w:r>
              <w:rPr>
                <w:rFonts w:hint="eastAsia" w:ascii="宋体" w:hAnsi="宋体" w:cs="宋体"/>
                <w:b w:val="0"/>
                <w:bCs/>
                <w:color w:val="auto"/>
                <w:szCs w:val="21"/>
                <w:highlight w:val="none"/>
              </w:rPr>
              <w:t>投标人须在投标文件资格审查部分提供承诺（格式见第六章投标文件格式）。</w:t>
            </w:r>
          </w:p>
          <w:p w14:paraId="090477AA">
            <w:pPr>
              <w:autoSpaceDE w:val="0"/>
              <w:autoSpaceDN w:val="0"/>
              <w:adjustRightInd w:val="0"/>
              <w:snapToGrid w:val="0"/>
              <w:spacing w:line="400" w:lineRule="exact"/>
              <w:ind w:firstLine="417" w:firstLineChars="198"/>
              <w:rPr>
                <w:rFonts w:ascii="宋体" w:hAnsi="宋体" w:cs="宋体"/>
                <w:b/>
                <w:color w:val="auto"/>
                <w:szCs w:val="21"/>
                <w:highlight w:val="none"/>
              </w:rPr>
            </w:pPr>
            <w:r>
              <w:rPr>
                <w:rFonts w:hint="eastAsia" w:ascii="宋体" w:hAnsi="宋体" w:cs="宋体"/>
                <w:b/>
                <w:color w:val="auto"/>
                <w:szCs w:val="21"/>
                <w:highlight w:val="none"/>
              </w:rPr>
              <w:t>特别说明：</w:t>
            </w:r>
          </w:p>
          <w:p w14:paraId="1707DC9E">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1）上述</w:t>
            </w:r>
            <w:r>
              <w:rPr>
                <w:rFonts w:hint="eastAsia" w:ascii="宋体" w:hAnsi="宋体" w:cs="宋体"/>
                <w:color w:val="auto"/>
                <w:szCs w:val="21"/>
                <w:highlight w:val="none"/>
              </w:rPr>
              <w:t>要求须提交的相关证明材料均为扫描件（原件或复印件的扫描件均可），扫描件须清晰可辨，</w:t>
            </w:r>
            <w:r>
              <w:rPr>
                <w:rFonts w:hint="eastAsia" w:ascii="宋体" w:hAnsi="宋体" w:cs="宋体"/>
                <w:color w:val="auto"/>
                <w:kern w:val="0"/>
                <w:szCs w:val="21"/>
                <w:highlight w:val="none"/>
              </w:rPr>
              <w:t>有一条不满足，则投标文件由评标委员会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14:paraId="50BE196D">
            <w:pPr>
              <w:autoSpaceDE w:val="0"/>
              <w:autoSpaceDN w:val="0"/>
              <w:adjustRightInd w:val="0"/>
              <w:snapToGrid w:val="0"/>
              <w:spacing w:line="400" w:lineRule="exact"/>
              <w:ind w:firstLine="415" w:firstLineChars="198"/>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single"/>
              </w:rPr>
              <w:t>招标人在合同签订前均有权对投标人提供的资料进行核实，若发现弄虚作假，</w:t>
            </w:r>
            <w:r>
              <w:rPr>
                <w:rFonts w:hint="eastAsia" w:ascii="宋体" w:hAnsi="宋体" w:cs="宋体"/>
                <w:color w:val="auto"/>
                <w:szCs w:val="21"/>
                <w:highlight w:val="none"/>
                <w:u w:val="single"/>
                <w:lang w:val="en-US" w:eastAsia="zh-CN"/>
              </w:rPr>
              <w:t>按相关规定</w:t>
            </w:r>
            <w:r>
              <w:rPr>
                <w:rFonts w:hint="eastAsia" w:ascii="宋体" w:hAnsi="宋体" w:cs="宋体"/>
                <w:color w:val="auto"/>
                <w:szCs w:val="21"/>
                <w:highlight w:val="none"/>
                <w:u w:val="single"/>
              </w:rPr>
              <w:t>取消其中标资格，并按相关法律法规报招标投标监督部门，其投标保证金以现金形式交纳的不予退还</w:t>
            </w:r>
            <w:r>
              <w:rPr>
                <w:rFonts w:hint="eastAsia" w:ascii="宋体" w:hAnsi="宋体" w:cs="宋体"/>
                <w:color w:val="auto"/>
                <w:szCs w:val="21"/>
                <w:highlight w:val="none"/>
                <w:u w:val="single"/>
                <w:lang w:eastAsia="zh-CN"/>
              </w:rPr>
              <w:t>，以保函形式交纳的由保函开立人支付保函担保的与投标保证金等额的款项</w:t>
            </w:r>
            <w:r>
              <w:rPr>
                <w:rFonts w:hint="eastAsia" w:ascii="宋体" w:hAnsi="宋体" w:cs="宋体"/>
                <w:color w:val="auto"/>
                <w:szCs w:val="21"/>
                <w:highlight w:val="none"/>
                <w:u w:val="single"/>
              </w:rPr>
              <w:t>，投标人承担因此造成的相关责任并赔偿相应损失。</w:t>
            </w:r>
          </w:p>
          <w:p w14:paraId="194D48B5">
            <w:pPr>
              <w:spacing w:line="400" w:lineRule="exact"/>
              <w:ind w:firstLine="420" w:firstLineChars="200"/>
              <w:rPr>
                <w:rFonts w:ascii="宋体" w:hAnsi="宋体"/>
                <w:bCs/>
                <w:color w:val="auto"/>
                <w:kern w:val="0"/>
                <w:szCs w:val="21"/>
                <w:highlight w:val="none"/>
              </w:rPr>
            </w:pPr>
            <w:r>
              <w:rPr>
                <w:rFonts w:hint="eastAsia" w:ascii="宋体" w:hAnsi="宋体"/>
                <w:bCs/>
                <w:color w:val="auto"/>
                <w:kern w:val="0"/>
                <w:szCs w:val="21"/>
                <w:highlight w:val="none"/>
              </w:rPr>
              <w:t>（3）</w:t>
            </w:r>
            <w:r>
              <w:rPr>
                <w:rFonts w:ascii="宋体" w:hAnsi="宋体"/>
                <w:bCs/>
                <w:color w:val="auto"/>
                <w:kern w:val="0"/>
                <w:szCs w:val="21"/>
                <w:highlight w:val="none"/>
              </w:rPr>
              <w:t>本招标文件中所要求的人员</w:t>
            </w:r>
            <w:r>
              <w:rPr>
                <w:rFonts w:hint="eastAsia" w:ascii="宋体" w:hAnsi="宋体"/>
                <w:bCs/>
                <w:color w:val="auto"/>
                <w:kern w:val="0"/>
                <w:szCs w:val="21"/>
                <w:highlight w:val="none"/>
              </w:rPr>
              <w:t>养老保险</w:t>
            </w:r>
            <w:r>
              <w:rPr>
                <w:rFonts w:ascii="宋体" w:hAnsi="宋体"/>
                <w:bCs/>
                <w:color w:val="auto"/>
                <w:kern w:val="0"/>
                <w:szCs w:val="21"/>
                <w:highlight w:val="none"/>
              </w:rPr>
              <w:t>证明要求如下：</w:t>
            </w:r>
          </w:p>
          <w:p w14:paraId="01A8F4C5">
            <w:pPr>
              <w:spacing w:line="400" w:lineRule="exact"/>
              <w:ind w:firstLine="420" w:firstLineChars="200"/>
              <w:rPr>
                <w:rFonts w:ascii="宋体" w:hAnsi="宋体"/>
                <w:bCs/>
                <w:color w:val="auto"/>
                <w:kern w:val="0"/>
                <w:szCs w:val="21"/>
                <w:highlight w:val="none"/>
              </w:rPr>
            </w:pPr>
            <w:r>
              <w:rPr>
                <w:rFonts w:ascii="宋体" w:hAnsi="宋体"/>
                <w:bCs/>
                <w:color w:val="auto"/>
                <w:kern w:val="0"/>
                <w:szCs w:val="21"/>
                <w:highlight w:val="none"/>
              </w:rPr>
              <w:t>①</w:t>
            </w:r>
            <w:r>
              <w:rPr>
                <w:rFonts w:hint="eastAsia" w:ascii="宋体" w:hAnsi="宋体"/>
                <w:bCs/>
                <w:color w:val="auto"/>
                <w:kern w:val="0"/>
                <w:szCs w:val="21"/>
                <w:highlight w:val="none"/>
                <w:lang w:val="en-US" w:eastAsia="zh-CN"/>
              </w:rPr>
              <w:t>企业</w:t>
            </w:r>
            <w:r>
              <w:rPr>
                <w:rFonts w:ascii="宋体" w:hAnsi="宋体"/>
                <w:bCs/>
                <w:color w:val="auto"/>
                <w:kern w:val="0"/>
                <w:szCs w:val="21"/>
                <w:highlight w:val="none"/>
              </w:rPr>
              <w:t>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证明，事业单位提供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证明或行政主管部门在编证明。</w:t>
            </w:r>
          </w:p>
          <w:p w14:paraId="65F62D42">
            <w:pPr>
              <w:adjustRightInd w:val="0"/>
              <w:snapToGrid w:val="0"/>
              <w:spacing w:line="360" w:lineRule="exact"/>
              <w:ind w:firstLine="420" w:firstLineChars="200"/>
              <w:rPr>
                <w:rFonts w:hint="eastAsia" w:ascii="宋体" w:hAnsi="宋体" w:eastAsia="宋体" w:cs="宋体"/>
                <w:szCs w:val="21"/>
              </w:rPr>
            </w:pPr>
            <w:r>
              <w:rPr>
                <w:rFonts w:ascii="宋体" w:hAnsi="宋体"/>
                <w:bCs/>
                <w:color w:val="auto"/>
                <w:kern w:val="0"/>
                <w:szCs w:val="21"/>
                <w:highlight w:val="none"/>
              </w:rPr>
              <w:t>②</w:t>
            </w:r>
            <w:r>
              <w:rPr>
                <w:rFonts w:hint="eastAsia" w:ascii="宋体" w:hAnsi="宋体"/>
                <w:bCs/>
                <w:snapToGrid w:val="0"/>
                <w:color w:val="auto"/>
                <w:kern w:val="0"/>
                <w:szCs w:val="21"/>
                <w:highlight w:val="none"/>
              </w:rPr>
              <w:t>委托代理人</w:t>
            </w:r>
            <w:r>
              <w:rPr>
                <w:rFonts w:ascii="宋体" w:hAnsi="宋体"/>
                <w:bCs/>
                <w:snapToGrid/>
                <w:color w:val="auto"/>
                <w:kern w:val="0"/>
                <w:szCs w:val="21"/>
                <w:highlight w:val="none"/>
              </w:rPr>
              <w:t>的</w:t>
            </w:r>
            <w:r>
              <w:rPr>
                <w:rFonts w:hint="default" w:ascii="宋体" w:hAnsi="宋体"/>
                <w:bCs/>
                <w:snapToGrid/>
                <w:color w:val="auto"/>
                <w:kern w:val="0"/>
                <w:szCs w:val="21"/>
                <w:highlight w:val="none"/>
              </w:rPr>
              <w:t>连续养老保险</w:t>
            </w:r>
            <w:r>
              <w:rPr>
                <w:rFonts w:ascii="宋体" w:hAnsi="宋体"/>
                <w:bCs/>
                <w:snapToGrid/>
                <w:color w:val="auto"/>
                <w:kern w:val="0"/>
                <w:szCs w:val="21"/>
                <w:highlight w:val="none"/>
              </w:rPr>
              <w:t>证明期限</w:t>
            </w:r>
            <w:r>
              <w:rPr>
                <w:rFonts w:hint="default" w:ascii="宋体" w:hAnsi="宋体"/>
                <w:bCs/>
                <w:snapToGrid/>
                <w:color w:val="auto"/>
                <w:kern w:val="0"/>
                <w:szCs w:val="21"/>
                <w:highlight w:val="none"/>
              </w:rPr>
              <w:t>须包含</w:t>
            </w:r>
            <w:r>
              <w:rPr>
                <w:rFonts w:hint="default" w:ascii="宋体" w:hAnsi="宋体" w:eastAsia="宋体" w:cs="Times New Roman"/>
                <w:bCs/>
                <w:color w:val="253DF3"/>
                <w:kern w:val="0"/>
                <w:sz w:val="21"/>
                <w:szCs w:val="21"/>
                <w:highlight w:val="none"/>
                <w:lang w:val="en-US"/>
              </w:rPr>
              <w:t>202</w:t>
            </w:r>
            <w:r>
              <w:rPr>
                <w:rFonts w:hint="eastAsia" w:ascii="宋体" w:hAnsi="宋体" w:cs="Times New Roman"/>
                <w:bCs/>
                <w:color w:val="253DF3"/>
                <w:kern w:val="0"/>
                <w:sz w:val="21"/>
                <w:szCs w:val="21"/>
                <w:highlight w:val="none"/>
                <w:lang w:val="en-US" w:eastAsia="zh-CN"/>
              </w:rPr>
              <w:t>5</w:t>
            </w:r>
            <w:r>
              <w:rPr>
                <w:rFonts w:hint="default" w:ascii="宋体" w:hAnsi="宋体" w:eastAsia="宋体" w:cs="Times New Roman"/>
                <w:bCs/>
                <w:color w:val="253DF3"/>
                <w:kern w:val="0"/>
                <w:sz w:val="21"/>
                <w:szCs w:val="21"/>
                <w:highlight w:val="none"/>
              </w:rPr>
              <w:t>年</w:t>
            </w:r>
            <w:r>
              <w:rPr>
                <w:rFonts w:hint="eastAsia" w:ascii="宋体" w:hAnsi="宋体" w:cs="Times New Roman"/>
                <w:bCs/>
                <w:color w:val="253DF3"/>
                <w:kern w:val="0"/>
                <w:sz w:val="21"/>
                <w:szCs w:val="21"/>
                <w:highlight w:val="none"/>
                <w:lang w:val="en-US" w:eastAsia="zh-CN"/>
              </w:rPr>
              <w:t>1</w:t>
            </w:r>
            <w:r>
              <w:rPr>
                <w:rFonts w:hint="default" w:ascii="宋体" w:hAnsi="宋体" w:eastAsia="宋体" w:cs="Times New Roman"/>
                <w:bCs/>
                <w:color w:val="253DF3"/>
                <w:kern w:val="0"/>
                <w:sz w:val="21"/>
                <w:szCs w:val="21"/>
                <w:highlight w:val="none"/>
              </w:rPr>
              <w:t>月至</w:t>
            </w:r>
            <w:r>
              <w:rPr>
                <w:rFonts w:hint="default" w:ascii="宋体" w:hAnsi="宋体" w:eastAsia="宋体" w:cs="Times New Roman"/>
                <w:bCs/>
                <w:color w:val="253DF3"/>
                <w:kern w:val="0"/>
                <w:sz w:val="21"/>
                <w:szCs w:val="21"/>
                <w:highlight w:val="none"/>
                <w:lang w:val="en-US"/>
              </w:rPr>
              <w:t>202</w:t>
            </w:r>
            <w:r>
              <w:rPr>
                <w:rFonts w:hint="eastAsia" w:ascii="宋体" w:hAnsi="宋体" w:cs="Times New Roman"/>
                <w:bCs/>
                <w:color w:val="253DF3"/>
                <w:kern w:val="0"/>
                <w:sz w:val="21"/>
                <w:szCs w:val="21"/>
                <w:highlight w:val="none"/>
                <w:lang w:val="en-US" w:eastAsia="zh-CN"/>
              </w:rPr>
              <w:t>5</w:t>
            </w:r>
            <w:r>
              <w:rPr>
                <w:rFonts w:hint="default" w:ascii="宋体" w:hAnsi="宋体" w:eastAsia="宋体" w:cs="Times New Roman"/>
                <w:bCs/>
                <w:color w:val="253DF3"/>
                <w:kern w:val="0"/>
                <w:sz w:val="21"/>
                <w:szCs w:val="21"/>
                <w:highlight w:val="none"/>
              </w:rPr>
              <w:t>年</w:t>
            </w:r>
            <w:r>
              <w:rPr>
                <w:rFonts w:hint="eastAsia" w:ascii="宋体" w:hAnsi="宋体" w:cs="Times New Roman"/>
                <w:bCs/>
                <w:color w:val="253DF3"/>
                <w:kern w:val="0"/>
                <w:sz w:val="21"/>
                <w:szCs w:val="21"/>
                <w:highlight w:val="none"/>
                <w:lang w:val="en-US" w:eastAsia="zh-CN"/>
              </w:rPr>
              <w:t>5</w:t>
            </w:r>
            <w:r>
              <w:rPr>
                <w:rFonts w:hint="default" w:ascii="宋体" w:hAnsi="宋体"/>
                <w:bCs/>
                <w:snapToGrid/>
                <w:color w:val="253DF3"/>
                <w:kern w:val="0"/>
                <w:szCs w:val="21"/>
                <w:highlight w:val="none"/>
                <w:lang w:val="en-US" w:eastAsia="zh-CN"/>
              </w:rPr>
              <w:t>月</w:t>
            </w:r>
            <w:r>
              <w:rPr>
                <w:rFonts w:hint="default" w:ascii="宋体" w:hAnsi="宋体"/>
                <w:bCs/>
                <w:color w:val="auto"/>
                <w:kern w:val="0"/>
                <w:szCs w:val="21"/>
                <w:highlight w:val="none"/>
              </w:rPr>
              <w:t>。提</w:t>
            </w:r>
            <w:r>
              <w:rPr>
                <w:rFonts w:hint="eastAsia" w:ascii="宋体" w:hAnsi="宋体"/>
                <w:bCs/>
                <w:color w:val="auto"/>
                <w:szCs w:val="21"/>
                <w:highlight w:val="none"/>
              </w:rPr>
              <w:t>供的养老保险参保证明须体现上述人员的姓名、身份证号（或社保号）、单位名称、参保时间（或起始参保时间），并带有社保部门公章或社保部门的有效</w:t>
            </w:r>
            <w:r>
              <w:rPr>
                <w:rFonts w:hint="eastAsia" w:ascii="宋体" w:hAnsi="宋体" w:cs="Times New Roman"/>
                <w:bCs/>
                <w:color w:val="auto"/>
                <w:szCs w:val="21"/>
                <w:highlight w:val="none"/>
              </w:rPr>
              <w:t>电子印章。</w:t>
            </w:r>
          </w:p>
        </w:tc>
      </w:tr>
      <w:tr w14:paraId="1E8C4C46">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04194FB0">
            <w:pPr>
              <w:spacing w:line="360" w:lineRule="exact"/>
              <w:jc w:val="center"/>
              <w:rPr>
                <w:rFonts w:hint="eastAsia" w:ascii="宋体" w:hAnsi="宋体" w:eastAsia="宋体" w:cs="宋体"/>
                <w:szCs w:val="21"/>
              </w:rPr>
            </w:pPr>
            <w:r>
              <w:rPr>
                <w:rFonts w:hint="eastAsia" w:ascii="宋体" w:hAnsi="宋体" w:eastAsia="宋体" w:cs="宋体"/>
                <w:szCs w:val="21"/>
              </w:rPr>
              <w:t>1.4.2</w:t>
            </w:r>
          </w:p>
        </w:tc>
        <w:tc>
          <w:tcPr>
            <w:tcW w:w="2583" w:type="dxa"/>
            <w:tcBorders>
              <w:top w:val="single" w:color="auto" w:sz="4" w:space="0"/>
              <w:left w:val="single" w:color="auto" w:sz="4" w:space="0"/>
              <w:bottom w:val="single" w:color="auto" w:sz="4" w:space="0"/>
              <w:right w:val="single" w:color="auto" w:sz="4" w:space="0"/>
            </w:tcBorders>
            <w:vAlign w:val="center"/>
          </w:tcPr>
          <w:p w14:paraId="70B5552A">
            <w:pPr>
              <w:spacing w:line="360" w:lineRule="exact"/>
              <w:jc w:val="center"/>
              <w:rPr>
                <w:rFonts w:hint="eastAsia" w:ascii="宋体" w:hAnsi="宋体" w:eastAsia="宋体" w:cs="宋体"/>
                <w:szCs w:val="21"/>
              </w:rPr>
            </w:pPr>
            <w:r>
              <w:rPr>
                <w:rFonts w:hint="eastAsia" w:ascii="宋体" w:hAnsi="宋体" w:eastAsia="宋体" w:cs="宋体"/>
                <w:szCs w:val="21"/>
              </w:rPr>
              <w:t>是否接受联合体供应商</w:t>
            </w:r>
          </w:p>
        </w:tc>
        <w:tc>
          <w:tcPr>
            <w:tcW w:w="5817" w:type="dxa"/>
            <w:tcBorders>
              <w:top w:val="single" w:color="auto" w:sz="4" w:space="0"/>
              <w:left w:val="single" w:color="auto" w:sz="4" w:space="0"/>
              <w:bottom w:val="single" w:color="auto" w:sz="4" w:space="0"/>
              <w:right w:val="single" w:color="auto" w:sz="4" w:space="0"/>
            </w:tcBorders>
            <w:vAlign w:val="center"/>
          </w:tcPr>
          <w:p w14:paraId="6FDCF165">
            <w:pPr>
              <w:topLinePunct/>
              <w:spacing w:line="360" w:lineRule="exact"/>
              <w:rPr>
                <w:rFonts w:hint="eastAsia" w:ascii="宋体" w:hAnsi="宋体" w:eastAsia="宋体" w:cs="宋体"/>
                <w:szCs w:val="21"/>
              </w:rPr>
            </w:pPr>
            <w:r>
              <w:rPr>
                <w:rFonts w:hint="eastAsia" w:ascii="宋体" w:hAnsi="宋体" w:eastAsia="宋体" w:cs="宋体"/>
                <w:szCs w:val="21"/>
              </w:rPr>
              <w:t>☑不接受</w:t>
            </w:r>
          </w:p>
          <w:p w14:paraId="514967D8">
            <w:pPr>
              <w:spacing w:line="360" w:lineRule="exact"/>
              <w:rPr>
                <w:rFonts w:hint="eastAsia" w:ascii="宋体" w:hAnsi="宋体" w:eastAsia="宋体" w:cs="宋体"/>
                <w:szCs w:val="21"/>
              </w:rPr>
            </w:pPr>
            <w:r>
              <w:rPr>
                <w:rFonts w:hint="eastAsia" w:ascii="宋体" w:hAnsi="宋体" w:eastAsia="宋体" w:cs="宋体"/>
                <w:szCs w:val="21"/>
              </w:rPr>
              <w:t>□接受，应满足下列要求：</w:t>
            </w:r>
          </w:p>
        </w:tc>
      </w:tr>
      <w:tr w14:paraId="77C2CF2A">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6C7FBD24">
            <w:pPr>
              <w:spacing w:line="360" w:lineRule="exact"/>
              <w:jc w:val="center"/>
              <w:rPr>
                <w:rFonts w:hint="eastAsia" w:ascii="宋体" w:hAnsi="宋体" w:eastAsia="宋体" w:cs="宋体"/>
                <w:szCs w:val="21"/>
              </w:rPr>
            </w:pPr>
            <w:r>
              <w:rPr>
                <w:rFonts w:hint="eastAsia" w:ascii="宋体" w:hAnsi="宋体" w:eastAsia="宋体" w:cs="宋体"/>
                <w:szCs w:val="21"/>
              </w:rPr>
              <w:t>1.9.1</w:t>
            </w:r>
          </w:p>
        </w:tc>
        <w:tc>
          <w:tcPr>
            <w:tcW w:w="2583" w:type="dxa"/>
            <w:tcBorders>
              <w:top w:val="single" w:color="auto" w:sz="4" w:space="0"/>
              <w:left w:val="single" w:color="auto" w:sz="4" w:space="0"/>
              <w:bottom w:val="single" w:color="auto" w:sz="4" w:space="0"/>
              <w:right w:val="single" w:color="auto" w:sz="4" w:space="0"/>
            </w:tcBorders>
            <w:vAlign w:val="center"/>
          </w:tcPr>
          <w:p w14:paraId="79D1A32D">
            <w:pPr>
              <w:spacing w:line="360" w:lineRule="exact"/>
              <w:jc w:val="center"/>
              <w:rPr>
                <w:rFonts w:hint="eastAsia" w:ascii="宋体" w:hAnsi="宋体" w:eastAsia="宋体" w:cs="宋体"/>
                <w:szCs w:val="21"/>
              </w:rPr>
            </w:pPr>
            <w:r>
              <w:rPr>
                <w:rFonts w:hint="eastAsia" w:ascii="宋体" w:hAnsi="宋体" w:eastAsia="宋体" w:cs="宋体"/>
                <w:szCs w:val="21"/>
              </w:rPr>
              <w:t>踏勘现场</w:t>
            </w:r>
          </w:p>
        </w:tc>
        <w:tc>
          <w:tcPr>
            <w:tcW w:w="5817" w:type="dxa"/>
            <w:tcBorders>
              <w:top w:val="single" w:color="auto" w:sz="4" w:space="0"/>
              <w:left w:val="single" w:color="auto" w:sz="4" w:space="0"/>
              <w:bottom w:val="single" w:color="auto" w:sz="4" w:space="0"/>
              <w:right w:val="single" w:color="auto" w:sz="4" w:space="0"/>
            </w:tcBorders>
            <w:vAlign w:val="center"/>
          </w:tcPr>
          <w:p w14:paraId="4BE11530">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rPr>
              <w:t>☑不组织</w:t>
            </w:r>
          </w:p>
          <w:p w14:paraId="2855A80B">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rPr>
              <w:t>□组织，踏勘时间：</w:t>
            </w:r>
          </w:p>
          <w:p w14:paraId="48C87E22">
            <w:pPr>
              <w:pStyle w:val="17"/>
              <w:topLinePunct/>
              <w:spacing w:line="360" w:lineRule="exact"/>
              <w:ind w:firstLine="840" w:firstLineChars="400"/>
              <w:rPr>
                <w:rFonts w:hint="eastAsia" w:ascii="宋体" w:hAnsi="宋体" w:eastAsia="宋体" w:cs="宋体"/>
                <w:sz w:val="21"/>
                <w:szCs w:val="21"/>
              </w:rPr>
            </w:pPr>
            <w:r>
              <w:rPr>
                <w:rFonts w:hint="eastAsia" w:ascii="宋体" w:hAnsi="宋体" w:eastAsia="宋体" w:cs="宋体"/>
                <w:sz w:val="21"/>
                <w:szCs w:val="21"/>
              </w:rPr>
              <w:t>踏勘集中地点：</w:t>
            </w:r>
          </w:p>
        </w:tc>
      </w:tr>
      <w:tr w14:paraId="21CDD7DD">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10588479">
            <w:pPr>
              <w:spacing w:line="360" w:lineRule="exact"/>
              <w:jc w:val="center"/>
              <w:rPr>
                <w:rFonts w:hint="eastAsia" w:ascii="宋体" w:hAnsi="宋体" w:eastAsia="宋体" w:cs="宋体"/>
                <w:szCs w:val="21"/>
              </w:rPr>
            </w:pPr>
            <w:r>
              <w:rPr>
                <w:rFonts w:hint="eastAsia" w:ascii="宋体" w:hAnsi="宋体" w:eastAsia="宋体" w:cs="宋体"/>
                <w:szCs w:val="21"/>
              </w:rPr>
              <w:t>1.10.1</w:t>
            </w:r>
          </w:p>
        </w:tc>
        <w:tc>
          <w:tcPr>
            <w:tcW w:w="2583" w:type="dxa"/>
            <w:tcBorders>
              <w:top w:val="single" w:color="auto" w:sz="4" w:space="0"/>
              <w:left w:val="single" w:color="auto" w:sz="4" w:space="0"/>
              <w:bottom w:val="single" w:color="auto" w:sz="4" w:space="0"/>
              <w:right w:val="single" w:color="auto" w:sz="4" w:space="0"/>
            </w:tcBorders>
            <w:vAlign w:val="center"/>
          </w:tcPr>
          <w:p w14:paraId="0961F72B">
            <w:pPr>
              <w:spacing w:line="360" w:lineRule="exact"/>
              <w:jc w:val="center"/>
              <w:rPr>
                <w:rFonts w:hint="eastAsia" w:ascii="宋体" w:hAnsi="宋体" w:eastAsia="宋体" w:cs="宋体"/>
                <w:szCs w:val="21"/>
              </w:rPr>
            </w:pPr>
            <w:r>
              <w:rPr>
                <w:rFonts w:hint="eastAsia" w:ascii="宋体" w:hAnsi="宋体" w:eastAsia="宋体" w:cs="宋体"/>
                <w:szCs w:val="21"/>
              </w:rPr>
              <w:t>预备会</w:t>
            </w:r>
          </w:p>
        </w:tc>
        <w:tc>
          <w:tcPr>
            <w:tcW w:w="5817" w:type="dxa"/>
            <w:tcBorders>
              <w:top w:val="single" w:color="auto" w:sz="4" w:space="0"/>
              <w:left w:val="single" w:color="auto" w:sz="4" w:space="0"/>
              <w:bottom w:val="single" w:color="auto" w:sz="4" w:space="0"/>
              <w:right w:val="single" w:color="auto" w:sz="4" w:space="0"/>
            </w:tcBorders>
            <w:vAlign w:val="center"/>
          </w:tcPr>
          <w:p w14:paraId="48375683">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rPr>
              <w:t>☑不召开</w:t>
            </w:r>
          </w:p>
          <w:p w14:paraId="3824507E">
            <w:pPr>
              <w:spacing w:line="360" w:lineRule="exact"/>
              <w:rPr>
                <w:rFonts w:hint="eastAsia" w:ascii="宋体" w:hAnsi="宋体" w:eastAsia="宋体" w:cs="宋体"/>
                <w:szCs w:val="21"/>
              </w:rPr>
            </w:pPr>
            <w:r>
              <w:rPr>
                <w:rFonts w:hint="eastAsia" w:ascii="宋体" w:hAnsi="宋体" w:eastAsia="宋体" w:cs="宋体"/>
                <w:szCs w:val="21"/>
              </w:rPr>
              <w:t>□召开，召开时间：</w:t>
            </w:r>
          </w:p>
          <w:p w14:paraId="490C690B">
            <w:pPr>
              <w:spacing w:line="360" w:lineRule="exact"/>
              <w:ind w:firstLine="840" w:firstLineChars="400"/>
              <w:rPr>
                <w:rFonts w:hint="eastAsia" w:ascii="宋体" w:hAnsi="宋体" w:eastAsia="宋体" w:cs="宋体"/>
                <w:szCs w:val="21"/>
              </w:rPr>
            </w:pPr>
            <w:r>
              <w:rPr>
                <w:rFonts w:hint="eastAsia" w:ascii="宋体" w:hAnsi="宋体" w:eastAsia="宋体" w:cs="宋体"/>
                <w:szCs w:val="21"/>
              </w:rPr>
              <w:t>召开地点：</w:t>
            </w:r>
          </w:p>
        </w:tc>
      </w:tr>
      <w:tr w14:paraId="57F8D3B8">
        <w:tblPrEx>
          <w:tblCellMar>
            <w:top w:w="0" w:type="dxa"/>
            <w:left w:w="108" w:type="dxa"/>
            <w:bottom w:w="0" w:type="dxa"/>
            <w:right w:w="108" w:type="dxa"/>
          </w:tblCellMar>
        </w:tblPrEx>
        <w:trPr>
          <w:trHeight w:val="454" w:hRule="atLeast"/>
        </w:trPr>
        <w:tc>
          <w:tcPr>
            <w:tcW w:w="1200" w:type="dxa"/>
            <w:vMerge w:val="restart"/>
            <w:tcBorders>
              <w:top w:val="single" w:color="auto" w:sz="4" w:space="0"/>
              <w:left w:val="single" w:color="auto" w:sz="4" w:space="0"/>
              <w:right w:val="single" w:color="auto" w:sz="4" w:space="0"/>
            </w:tcBorders>
            <w:vAlign w:val="center"/>
          </w:tcPr>
          <w:p w14:paraId="244FD87E">
            <w:pPr>
              <w:spacing w:line="360" w:lineRule="exact"/>
              <w:jc w:val="center"/>
              <w:rPr>
                <w:rFonts w:hint="eastAsia" w:ascii="宋体" w:hAnsi="宋体" w:eastAsia="宋体" w:cs="宋体"/>
                <w:szCs w:val="21"/>
              </w:rPr>
            </w:pPr>
            <w:r>
              <w:rPr>
                <w:rFonts w:hint="eastAsia" w:ascii="宋体" w:hAnsi="宋体" w:eastAsia="宋体" w:cs="宋体"/>
                <w:szCs w:val="21"/>
              </w:rPr>
              <w:t>1.10.2</w:t>
            </w:r>
          </w:p>
        </w:tc>
        <w:tc>
          <w:tcPr>
            <w:tcW w:w="2583" w:type="dxa"/>
            <w:vMerge w:val="restart"/>
            <w:tcBorders>
              <w:top w:val="single" w:color="auto" w:sz="4" w:space="0"/>
              <w:left w:val="single" w:color="auto" w:sz="4" w:space="0"/>
              <w:right w:val="single" w:color="auto" w:sz="4" w:space="0"/>
            </w:tcBorders>
            <w:vAlign w:val="center"/>
          </w:tcPr>
          <w:p w14:paraId="6E44075F">
            <w:pPr>
              <w:spacing w:line="360" w:lineRule="exact"/>
              <w:jc w:val="center"/>
              <w:rPr>
                <w:rFonts w:hint="eastAsia" w:ascii="宋体" w:hAnsi="宋体" w:eastAsia="宋体" w:cs="宋体"/>
                <w:szCs w:val="21"/>
              </w:rPr>
            </w:pPr>
            <w:r>
              <w:rPr>
                <w:rFonts w:hint="eastAsia" w:ascii="宋体" w:hAnsi="宋体" w:eastAsia="宋体" w:cs="宋体"/>
                <w:szCs w:val="21"/>
              </w:rPr>
              <w:t>供应商在预备会前提出问题</w:t>
            </w:r>
          </w:p>
        </w:tc>
        <w:tc>
          <w:tcPr>
            <w:tcW w:w="5817" w:type="dxa"/>
            <w:tcBorders>
              <w:top w:val="single" w:color="auto" w:sz="4" w:space="0"/>
              <w:left w:val="single" w:color="auto" w:sz="4" w:space="0"/>
              <w:bottom w:val="single" w:color="auto" w:sz="4" w:space="0"/>
              <w:right w:val="single" w:color="auto" w:sz="4" w:space="0"/>
            </w:tcBorders>
            <w:vAlign w:val="center"/>
          </w:tcPr>
          <w:p w14:paraId="448ABE83">
            <w:pPr>
              <w:spacing w:line="360" w:lineRule="exact"/>
              <w:rPr>
                <w:rFonts w:hint="eastAsia" w:ascii="宋体" w:hAnsi="宋体" w:eastAsia="宋体" w:cs="宋体"/>
                <w:szCs w:val="21"/>
              </w:rPr>
            </w:pPr>
            <w:r>
              <w:rPr>
                <w:rFonts w:hint="eastAsia" w:ascii="宋体" w:hAnsi="宋体" w:eastAsia="宋体" w:cs="宋体"/>
                <w:szCs w:val="21"/>
              </w:rPr>
              <w:t>时间：/</w:t>
            </w:r>
          </w:p>
        </w:tc>
      </w:tr>
      <w:tr w14:paraId="4D1CC57A">
        <w:tblPrEx>
          <w:tblCellMar>
            <w:top w:w="0" w:type="dxa"/>
            <w:left w:w="108" w:type="dxa"/>
            <w:bottom w:w="0" w:type="dxa"/>
            <w:right w:w="108" w:type="dxa"/>
          </w:tblCellMar>
        </w:tblPrEx>
        <w:trPr>
          <w:trHeight w:val="454" w:hRule="atLeast"/>
        </w:trPr>
        <w:tc>
          <w:tcPr>
            <w:tcW w:w="1200" w:type="dxa"/>
            <w:vMerge w:val="continue"/>
            <w:tcBorders>
              <w:left w:val="single" w:color="auto" w:sz="4" w:space="0"/>
              <w:bottom w:val="single" w:color="auto" w:sz="4" w:space="0"/>
              <w:right w:val="single" w:color="auto" w:sz="4" w:space="0"/>
            </w:tcBorders>
            <w:vAlign w:val="center"/>
          </w:tcPr>
          <w:p w14:paraId="1FA8D430">
            <w:pPr>
              <w:spacing w:line="360" w:lineRule="exact"/>
              <w:jc w:val="center"/>
              <w:rPr>
                <w:rFonts w:hint="eastAsia" w:ascii="宋体" w:hAnsi="宋体" w:eastAsia="宋体" w:cs="宋体"/>
                <w:szCs w:val="21"/>
              </w:rPr>
            </w:pPr>
          </w:p>
        </w:tc>
        <w:tc>
          <w:tcPr>
            <w:tcW w:w="2583" w:type="dxa"/>
            <w:vMerge w:val="continue"/>
            <w:tcBorders>
              <w:left w:val="single" w:color="auto" w:sz="4" w:space="0"/>
              <w:bottom w:val="single" w:color="auto" w:sz="4" w:space="0"/>
              <w:right w:val="single" w:color="auto" w:sz="4" w:space="0"/>
            </w:tcBorders>
            <w:vAlign w:val="center"/>
          </w:tcPr>
          <w:p w14:paraId="74178753">
            <w:pPr>
              <w:spacing w:line="360" w:lineRule="exact"/>
              <w:jc w:val="center"/>
              <w:rPr>
                <w:rFonts w:hint="eastAsia" w:ascii="宋体" w:hAnsi="宋体" w:eastAsia="宋体" w:cs="宋体"/>
                <w:szCs w:val="21"/>
              </w:rPr>
            </w:pPr>
          </w:p>
        </w:tc>
        <w:tc>
          <w:tcPr>
            <w:tcW w:w="5817" w:type="dxa"/>
            <w:tcBorders>
              <w:top w:val="single" w:color="auto" w:sz="4" w:space="0"/>
              <w:left w:val="single" w:color="auto" w:sz="4" w:space="0"/>
              <w:bottom w:val="single" w:color="auto" w:sz="4" w:space="0"/>
              <w:right w:val="single" w:color="auto" w:sz="4" w:space="0"/>
            </w:tcBorders>
            <w:vAlign w:val="center"/>
          </w:tcPr>
          <w:p w14:paraId="718ADE81">
            <w:pPr>
              <w:spacing w:line="360" w:lineRule="exact"/>
              <w:rPr>
                <w:rFonts w:hint="eastAsia" w:ascii="宋体" w:hAnsi="宋体" w:eastAsia="宋体" w:cs="宋体"/>
                <w:szCs w:val="21"/>
              </w:rPr>
            </w:pPr>
            <w:r>
              <w:rPr>
                <w:rFonts w:hint="eastAsia" w:ascii="宋体" w:hAnsi="宋体" w:eastAsia="宋体" w:cs="宋体"/>
                <w:szCs w:val="21"/>
              </w:rPr>
              <w:t>形式：/</w:t>
            </w:r>
          </w:p>
        </w:tc>
      </w:tr>
      <w:tr w14:paraId="01824446">
        <w:tblPrEx>
          <w:tblCellMar>
            <w:top w:w="0" w:type="dxa"/>
            <w:left w:w="108" w:type="dxa"/>
            <w:bottom w:w="0" w:type="dxa"/>
            <w:right w:w="108" w:type="dxa"/>
          </w:tblCellMar>
        </w:tblPrEx>
        <w:trPr>
          <w:trHeight w:val="454" w:hRule="atLeast"/>
        </w:trPr>
        <w:tc>
          <w:tcPr>
            <w:tcW w:w="1200" w:type="dxa"/>
            <w:tcBorders>
              <w:left w:val="single" w:color="auto" w:sz="4" w:space="0"/>
              <w:bottom w:val="single" w:color="auto" w:sz="4" w:space="0"/>
              <w:right w:val="single" w:color="auto" w:sz="4" w:space="0"/>
            </w:tcBorders>
            <w:vAlign w:val="center"/>
          </w:tcPr>
          <w:p w14:paraId="1ADAF750">
            <w:pPr>
              <w:spacing w:line="360" w:lineRule="exact"/>
              <w:jc w:val="center"/>
              <w:rPr>
                <w:rFonts w:hint="eastAsia" w:ascii="宋体" w:hAnsi="宋体" w:eastAsia="宋体" w:cs="宋体"/>
                <w:szCs w:val="21"/>
              </w:rPr>
            </w:pPr>
            <w:r>
              <w:rPr>
                <w:rFonts w:hint="eastAsia" w:ascii="宋体" w:hAnsi="宋体" w:eastAsia="宋体" w:cs="宋体"/>
                <w:szCs w:val="21"/>
              </w:rPr>
              <w:t>1.10.3</w:t>
            </w:r>
          </w:p>
        </w:tc>
        <w:tc>
          <w:tcPr>
            <w:tcW w:w="2583" w:type="dxa"/>
            <w:tcBorders>
              <w:left w:val="single" w:color="auto" w:sz="4" w:space="0"/>
              <w:bottom w:val="single" w:color="auto" w:sz="4" w:space="0"/>
              <w:right w:val="single" w:color="auto" w:sz="4" w:space="0"/>
            </w:tcBorders>
            <w:vAlign w:val="center"/>
          </w:tcPr>
          <w:p w14:paraId="6C46FBF0">
            <w:pPr>
              <w:spacing w:line="360" w:lineRule="exact"/>
              <w:jc w:val="center"/>
              <w:rPr>
                <w:rFonts w:hint="eastAsia" w:ascii="宋体" w:hAnsi="宋体" w:eastAsia="宋体" w:cs="宋体"/>
                <w:szCs w:val="21"/>
              </w:rPr>
            </w:pPr>
            <w:r>
              <w:rPr>
                <w:rFonts w:hint="eastAsia" w:ascii="宋体" w:hAnsi="宋体" w:eastAsia="宋体" w:cs="宋体"/>
                <w:szCs w:val="21"/>
                <w:lang w:eastAsia="zh-CN"/>
              </w:rPr>
              <w:t>响应文件</w:t>
            </w:r>
            <w:r>
              <w:rPr>
                <w:rFonts w:hint="eastAsia" w:ascii="宋体" w:hAnsi="宋体" w:eastAsia="宋体" w:cs="宋体"/>
                <w:szCs w:val="21"/>
              </w:rPr>
              <w:t>澄清发出的形式</w:t>
            </w:r>
          </w:p>
        </w:tc>
        <w:tc>
          <w:tcPr>
            <w:tcW w:w="5817" w:type="dxa"/>
            <w:tcBorders>
              <w:top w:val="single" w:color="auto" w:sz="4" w:space="0"/>
              <w:left w:val="single" w:color="auto" w:sz="4" w:space="0"/>
              <w:bottom w:val="single" w:color="auto" w:sz="4" w:space="0"/>
              <w:right w:val="single" w:color="auto" w:sz="4" w:space="0"/>
            </w:tcBorders>
            <w:vAlign w:val="center"/>
          </w:tcPr>
          <w:p w14:paraId="0F6E01A4">
            <w:pPr>
              <w:spacing w:line="360" w:lineRule="exact"/>
              <w:rPr>
                <w:rFonts w:hint="eastAsia" w:ascii="宋体" w:hAnsi="宋体" w:eastAsia="宋体" w:cs="宋体"/>
                <w:szCs w:val="21"/>
              </w:rPr>
            </w:pPr>
            <w:r>
              <w:rPr>
                <w:rFonts w:hint="eastAsia" w:ascii="宋体" w:hAnsi="宋体" w:eastAsia="宋体" w:cs="宋体"/>
                <w:color w:val="2010FA"/>
                <w:szCs w:val="21"/>
                <w:highlight w:val="yellow"/>
              </w:rPr>
              <w:t>202</w:t>
            </w:r>
            <w:r>
              <w:rPr>
                <w:rFonts w:hint="eastAsia" w:ascii="宋体" w:hAnsi="宋体" w:cs="宋体"/>
                <w:color w:val="2010FA"/>
                <w:szCs w:val="21"/>
                <w:highlight w:val="yellow"/>
                <w:lang w:val="en-US" w:eastAsia="zh-CN"/>
              </w:rPr>
              <w:t>5</w:t>
            </w:r>
            <w:r>
              <w:rPr>
                <w:rFonts w:hint="eastAsia" w:ascii="宋体" w:hAnsi="宋体" w:eastAsia="宋体" w:cs="宋体"/>
                <w:color w:val="2010FA"/>
                <w:szCs w:val="21"/>
                <w:highlight w:val="yellow"/>
              </w:rPr>
              <w:t xml:space="preserve">年 </w:t>
            </w:r>
            <w:r>
              <w:rPr>
                <w:rFonts w:hint="eastAsia" w:ascii="宋体" w:hAnsi="宋体" w:cs="宋体"/>
                <w:color w:val="2010FA"/>
                <w:szCs w:val="21"/>
                <w:highlight w:val="yellow"/>
                <w:lang w:val="en-US" w:eastAsia="zh-CN"/>
              </w:rPr>
              <w:t>7</w:t>
            </w:r>
            <w:r>
              <w:rPr>
                <w:rFonts w:hint="eastAsia" w:ascii="宋体" w:hAnsi="宋体" w:eastAsia="宋体" w:cs="宋体"/>
                <w:color w:val="2010FA"/>
                <w:szCs w:val="21"/>
                <w:highlight w:val="yellow"/>
              </w:rPr>
              <w:t>月</w:t>
            </w:r>
            <w:r>
              <w:rPr>
                <w:rFonts w:hint="eastAsia" w:ascii="宋体" w:hAnsi="宋体" w:cs="宋体"/>
                <w:color w:val="2010FA"/>
                <w:szCs w:val="21"/>
                <w:highlight w:val="yellow"/>
                <w:lang w:val="en-US" w:eastAsia="zh-CN"/>
              </w:rPr>
              <w:t>7</w:t>
            </w:r>
            <w:r>
              <w:rPr>
                <w:rFonts w:hint="eastAsia" w:ascii="宋体" w:hAnsi="宋体" w:eastAsia="宋体" w:cs="宋体"/>
                <w:color w:val="2010FA"/>
                <w:szCs w:val="21"/>
                <w:highlight w:val="yellow"/>
              </w:rPr>
              <w:t>日</w:t>
            </w:r>
            <w:r>
              <w:rPr>
                <w:rFonts w:hint="eastAsia" w:ascii="宋体" w:hAnsi="宋体" w:eastAsia="宋体" w:cs="宋体"/>
                <w:color w:val="2010FA"/>
                <w:szCs w:val="21"/>
                <w:highlight w:val="yellow"/>
                <w:lang w:val="en-US" w:eastAsia="zh-CN"/>
              </w:rPr>
              <w:t>17</w:t>
            </w:r>
            <w:r>
              <w:rPr>
                <w:rFonts w:hint="eastAsia" w:ascii="宋体" w:hAnsi="宋体" w:eastAsia="宋体" w:cs="宋体"/>
                <w:color w:val="2010FA"/>
                <w:szCs w:val="21"/>
                <w:highlight w:val="yellow"/>
              </w:rPr>
              <w:t>时</w:t>
            </w:r>
            <w:r>
              <w:rPr>
                <w:rFonts w:hint="eastAsia" w:ascii="宋体" w:hAnsi="宋体" w:eastAsia="宋体" w:cs="宋体"/>
                <w:color w:val="2010FA"/>
                <w:szCs w:val="21"/>
                <w:highlight w:val="yellow"/>
                <w:lang w:val="en-US" w:eastAsia="zh-CN"/>
              </w:rPr>
              <w:t>30分</w:t>
            </w:r>
            <w:r>
              <w:rPr>
                <w:rFonts w:hint="eastAsia" w:ascii="宋体" w:hAnsi="宋体" w:eastAsia="宋体" w:cs="宋体"/>
                <w:color w:val="2010FA"/>
                <w:szCs w:val="21"/>
                <w:highlight w:val="yellow"/>
              </w:rPr>
              <w:t>前</w:t>
            </w:r>
            <w:r>
              <w:rPr>
                <w:rFonts w:hint="eastAsia" w:ascii="宋体" w:hAnsi="宋体" w:eastAsia="宋体" w:cs="宋体"/>
                <w:color w:val="000000"/>
                <w:szCs w:val="21"/>
              </w:rPr>
              <w:t>，</w:t>
            </w:r>
            <w:r>
              <w:rPr>
                <w:rFonts w:hint="eastAsia" w:ascii="宋体" w:hAnsi="宋体" w:eastAsia="宋体" w:cs="宋体"/>
                <w:color w:val="000000"/>
                <w:szCs w:val="21"/>
                <w:lang w:eastAsia="zh-CN"/>
              </w:rPr>
              <w:t>响应文件</w:t>
            </w:r>
            <w:r>
              <w:rPr>
                <w:rFonts w:hint="eastAsia" w:ascii="宋体" w:hAnsi="宋体" w:eastAsia="宋体" w:cs="宋体"/>
                <w:color w:val="000000"/>
                <w:szCs w:val="21"/>
              </w:rPr>
              <w:t>、答疑澄清等</w:t>
            </w:r>
            <w:r>
              <w:rPr>
                <w:rFonts w:hint="eastAsia" w:ascii="宋体" w:hAnsi="宋体" w:eastAsia="宋体" w:cs="宋体"/>
                <w:color w:val="000000"/>
                <w:szCs w:val="21"/>
                <w:lang w:val="en-US" w:eastAsia="zh-CN"/>
              </w:rPr>
              <w:t>谈判</w:t>
            </w:r>
            <w:r>
              <w:rPr>
                <w:rFonts w:hint="eastAsia" w:ascii="宋体" w:hAnsi="宋体" w:eastAsia="宋体" w:cs="宋体"/>
                <w:color w:val="000000"/>
                <w:szCs w:val="21"/>
              </w:rPr>
              <w:t>会议前的有关资料及相关事宜均由采购</w:t>
            </w:r>
            <w:r>
              <w:rPr>
                <w:rFonts w:hint="eastAsia" w:ascii="宋体" w:hAnsi="宋体" w:cs="宋体"/>
                <w:color w:val="000000"/>
                <w:szCs w:val="21"/>
                <w:lang w:val="en-US" w:eastAsia="zh-CN"/>
              </w:rPr>
              <w:t>人</w:t>
            </w:r>
            <w:r>
              <w:rPr>
                <w:rFonts w:hint="eastAsia" w:ascii="宋体" w:hAnsi="宋体" w:eastAsia="宋体" w:cs="宋体"/>
                <w:color w:val="000000"/>
                <w:szCs w:val="21"/>
              </w:rPr>
              <w:t>发至各供应商联系人的邮箱内，但不指明澄清问题的来源，邮箱系统未退信都视为供应商全部知晓</w:t>
            </w:r>
            <w:r>
              <w:rPr>
                <w:rFonts w:hint="eastAsia" w:ascii="宋体" w:hAnsi="宋体" w:eastAsia="宋体" w:cs="宋体"/>
                <w:color w:val="000000"/>
                <w:szCs w:val="21"/>
                <w:lang w:eastAsia="zh-CN"/>
              </w:rPr>
              <w:t>谈判</w:t>
            </w:r>
            <w:r>
              <w:rPr>
                <w:rFonts w:hint="eastAsia" w:ascii="宋体" w:hAnsi="宋体" w:eastAsia="宋体" w:cs="宋体"/>
                <w:color w:val="000000"/>
                <w:szCs w:val="21"/>
              </w:rPr>
              <w:t>过程和事宜。</w:t>
            </w:r>
          </w:p>
        </w:tc>
      </w:tr>
      <w:tr w14:paraId="0E0E3826">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18CB191C">
            <w:pPr>
              <w:spacing w:line="360" w:lineRule="exact"/>
              <w:jc w:val="center"/>
              <w:rPr>
                <w:rFonts w:hint="eastAsia" w:ascii="宋体" w:hAnsi="宋体" w:eastAsia="宋体" w:cs="宋体"/>
                <w:szCs w:val="21"/>
              </w:rPr>
            </w:pPr>
            <w:r>
              <w:rPr>
                <w:rFonts w:hint="eastAsia" w:ascii="宋体" w:hAnsi="宋体" w:eastAsia="宋体" w:cs="宋体"/>
                <w:szCs w:val="21"/>
              </w:rPr>
              <w:t>1.11.1</w:t>
            </w:r>
          </w:p>
        </w:tc>
        <w:tc>
          <w:tcPr>
            <w:tcW w:w="2583" w:type="dxa"/>
            <w:tcBorders>
              <w:top w:val="single" w:color="auto" w:sz="4" w:space="0"/>
              <w:left w:val="single" w:color="auto" w:sz="4" w:space="0"/>
              <w:bottom w:val="single" w:color="auto" w:sz="4" w:space="0"/>
              <w:right w:val="single" w:color="auto" w:sz="4" w:space="0"/>
            </w:tcBorders>
            <w:vAlign w:val="center"/>
          </w:tcPr>
          <w:p w14:paraId="44E2C477">
            <w:pPr>
              <w:spacing w:line="360" w:lineRule="exact"/>
              <w:jc w:val="center"/>
              <w:rPr>
                <w:rFonts w:hint="eastAsia" w:ascii="宋体" w:hAnsi="宋体" w:eastAsia="宋体" w:cs="宋体"/>
                <w:szCs w:val="21"/>
              </w:rPr>
            </w:pPr>
            <w:r>
              <w:rPr>
                <w:rFonts w:hint="eastAsia" w:ascii="宋体" w:hAnsi="宋体" w:eastAsia="宋体" w:cs="宋体"/>
                <w:szCs w:val="21"/>
              </w:rPr>
              <w:t>分包</w:t>
            </w:r>
          </w:p>
        </w:tc>
        <w:tc>
          <w:tcPr>
            <w:tcW w:w="5817" w:type="dxa"/>
            <w:tcBorders>
              <w:top w:val="single" w:color="auto" w:sz="4" w:space="0"/>
              <w:left w:val="single" w:color="auto" w:sz="4" w:space="0"/>
              <w:bottom w:val="single" w:color="auto" w:sz="4" w:space="0"/>
              <w:right w:val="single" w:color="auto" w:sz="4" w:space="0"/>
            </w:tcBorders>
            <w:vAlign w:val="center"/>
          </w:tcPr>
          <w:p w14:paraId="1CC8BD17">
            <w:pPr>
              <w:spacing w:line="360" w:lineRule="exact"/>
              <w:rPr>
                <w:rFonts w:hint="eastAsia" w:ascii="宋体" w:hAnsi="宋体" w:eastAsia="宋体" w:cs="宋体"/>
                <w:szCs w:val="21"/>
              </w:rPr>
            </w:pPr>
            <w:r>
              <w:rPr>
                <w:rFonts w:hint="eastAsia" w:ascii="宋体" w:hAnsi="宋体" w:eastAsia="宋体" w:cs="宋体"/>
                <w:szCs w:val="21"/>
              </w:rPr>
              <w:t>☑不允许</w:t>
            </w:r>
          </w:p>
          <w:p w14:paraId="48A407E8">
            <w:pPr>
              <w:spacing w:line="360" w:lineRule="exact"/>
              <w:rPr>
                <w:rFonts w:hint="eastAsia" w:ascii="宋体" w:hAnsi="宋体" w:eastAsia="宋体" w:cs="宋体"/>
                <w:szCs w:val="21"/>
              </w:rPr>
            </w:pPr>
            <w:r>
              <w:rPr>
                <w:rFonts w:hint="eastAsia" w:ascii="宋体" w:hAnsi="宋体" w:eastAsia="宋体" w:cs="宋体"/>
                <w:szCs w:val="21"/>
              </w:rPr>
              <w:t>□允许，分包内容要求：</w:t>
            </w:r>
          </w:p>
          <w:p w14:paraId="3316D517">
            <w:pPr>
              <w:spacing w:line="360" w:lineRule="exact"/>
              <w:ind w:firstLine="840" w:firstLineChars="400"/>
              <w:rPr>
                <w:rFonts w:hint="eastAsia" w:ascii="宋体" w:hAnsi="宋体" w:eastAsia="宋体" w:cs="宋体"/>
                <w:szCs w:val="21"/>
              </w:rPr>
            </w:pPr>
            <w:r>
              <w:rPr>
                <w:rFonts w:hint="eastAsia" w:ascii="宋体" w:hAnsi="宋体" w:eastAsia="宋体" w:cs="宋体"/>
                <w:szCs w:val="21"/>
              </w:rPr>
              <w:t>分包金额要求：</w:t>
            </w:r>
          </w:p>
          <w:p w14:paraId="64C030CE">
            <w:pPr>
              <w:spacing w:line="360" w:lineRule="exact"/>
              <w:ind w:firstLine="840" w:firstLineChars="400"/>
              <w:rPr>
                <w:rFonts w:hint="eastAsia" w:ascii="宋体" w:hAnsi="宋体" w:eastAsia="宋体" w:cs="宋体"/>
                <w:szCs w:val="21"/>
              </w:rPr>
            </w:pPr>
            <w:r>
              <w:rPr>
                <w:rFonts w:hint="eastAsia" w:ascii="宋体" w:hAnsi="宋体" w:eastAsia="宋体" w:cs="宋体"/>
                <w:szCs w:val="21"/>
              </w:rPr>
              <w:t>对分包人的资质要求：</w:t>
            </w:r>
          </w:p>
        </w:tc>
      </w:tr>
      <w:tr w14:paraId="0466F43C">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4559A4AC">
            <w:pPr>
              <w:spacing w:line="360" w:lineRule="exact"/>
              <w:jc w:val="center"/>
              <w:rPr>
                <w:rFonts w:hint="eastAsia" w:ascii="宋体" w:hAnsi="宋体" w:eastAsia="宋体" w:cs="宋体"/>
                <w:szCs w:val="21"/>
              </w:rPr>
            </w:pPr>
            <w:r>
              <w:rPr>
                <w:rFonts w:hint="eastAsia" w:ascii="宋体" w:hAnsi="宋体" w:eastAsia="宋体" w:cs="宋体"/>
                <w:szCs w:val="21"/>
              </w:rPr>
              <w:t>1.12.3</w:t>
            </w:r>
          </w:p>
        </w:tc>
        <w:tc>
          <w:tcPr>
            <w:tcW w:w="2583" w:type="dxa"/>
            <w:tcBorders>
              <w:top w:val="single" w:color="auto" w:sz="4" w:space="0"/>
              <w:left w:val="single" w:color="auto" w:sz="4" w:space="0"/>
              <w:bottom w:val="single" w:color="auto" w:sz="4" w:space="0"/>
              <w:right w:val="single" w:color="auto" w:sz="4" w:space="0"/>
            </w:tcBorders>
            <w:vAlign w:val="center"/>
          </w:tcPr>
          <w:p w14:paraId="46FB67B7">
            <w:pPr>
              <w:spacing w:line="360" w:lineRule="exact"/>
              <w:jc w:val="center"/>
              <w:rPr>
                <w:rFonts w:hint="eastAsia" w:ascii="宋体" w:hAnsi="宋体" w:eastAsia="宋体" w:cs="宋体"/>
                <w:szCs w:val="21"/>
              </w:rPr>
            </w:pPr>
            <w:r>
              <w:rPr>
                <w:rFonts w:hint="eastAsia" w:ascii="宋体" w:hAnsi="宋体" w:eastAsia="宋体" w:cs="宋体"/>
                <w:szCs w:val="21"/>
              </w:rPr>
              <w:t>偏差</w:t>
            </w:r>
          </w:p>
        </w:tc>
        <w:tc>
          <w:tcPr>
            <w:tcW w:w="5817" w:type="dxa"/>
            <w:tcBorders>
              <w:top w:val="single" w:color="auto" w:sz="4" w:space="0"/>
              <w:left w:val="single" w:color="auto" w:sz="4" w:space="0"/>
              <w:bottom w:val="single" w:color="auto" w:sz="4" w:space="0"/>
              <w:right w:val="single" w:color="auto" w:sz="4" w:space="0"/>
            </w:tcBorders>
          </w:tcPr>
          <w:p w14:paraId="79762DC8">
            <w:pPr>
              <w:spacing w:line="360" w:lineRule="exact"/>
              <w:rPr>
                <w:rFonts w:hint="eastAsia" w:ascii="宋体" w:hAnsi="宋体" w:eastAsia="宋体" w:cs="宋体"/>
                <w:szCs w:val="21"/>
              </w:rPr>
            </w:pPr>
            <w:r>
              <w:rPr>
                <w:rFonts w:hint="eastAsia" w:ascii="宋体" w:hAnsi="宋体" w:eastAsia="宋体" w:cs="宋体"/>
                <w:szCs w:val="21"/>
              </w:rPr>
              <w:t>☑不允许</w:t>
            </w:r>
          </w:p>
          <w:p w14:paraId="12CC60B7">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rPr>
              <w:t>□允许，偏差范围：</w:t>
            </w:r>
          </w:p>
          <w:p w14:paraId="252D0BE3">
            <w:pPr>
              <w:pStyle w:val="17"/>
              <w:topLinePunct/>
              <w:spacing w:line="360" w:lineRule="exact"/>
              <w:ind w:firstLine="945" w:firstLineChars="450"/>
              <w:rPr>
                <w:rFonts w:hint="eastAsia" w:ascii="宋体" w:hAnsi="宋体" w:eastAsia="宋体" w:cs="宋体"/>
                <w:sz w:val="21"/>
                <w:szCs w:val="21"/>
              </w:rPr>
            </w:pPr>
            <w:r>
              <w:rPr>
                <w:rFonts w:hint="eastAsia" w:ascii="宋体" w:hAnsi="宋体" w:eastAsia="宋体" w:cs="宋体"/>
                <w:sz w:val="21"/>
                <w:szCs w:val="21"/>
              </w:rPr>
              <w:t>偏差幅度：</w:t>
            </w:r>
          </w:p>
        </w:tc>
      </w:tr>
      <w:tr w14:paraId="3DF89A7F">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55AE65BF">
            <w:pPr>
              <w:spacing w:line="360" w:lineRule="exact"/>
              <w:jc w:val="center"/>
              <w:rPr>
                <w:rFonts w:hint="eastAsia" w:ascii="宋体" w:hAnsi="宋体" w:eastAsia="宋体" w:cs="宋体"/>
                <w:szCs w:val="21"/>
              </w:rPr>
            </w:pPr>
            <w:r>
              <w:rPr>
                <w:rFonts w:hint="eastAsia" w:ascii="宋体" w:hAnsi="宋体" w:eastAsia="宋体" w:cs="宋体"/>
                <w:szCs w:val="21"/>
              </w:rPr>
              <w:t>2.1</w:t>
            </w:r>
          </w:p>
        </w:tc>
        <w:tc>
          <w:tcPr>
            <w:tcW w:w="2583" w:type="dxa"/>
            <w:tcBorders>
              <w:top w:val="single" w:color="auto" w:sz="4" w:space="0"/>
              <w:left w:val="single" w:color="auto" w:sz="4" w:space="0"/>
              <w:bottom w:val="single" w:color="auto" w:sz="4" w:space="0"/>
              <w:right w:val="single" w:color="auto" w:sz="4" w:space="0"/>
            </w:tcBorders>
            <w:vAlign w:val="center"/>
          </w:tcPr>
          <w:p w14:paraId="79965AC2">
            <w:pPr>
              <w:spacing w:line="360" w:lineRule="exact"/>
              <w:jc w:val="center"/>
              <w:rPr>
                <w:rFonts w:hint="eastAsia" w:ascii="宋体" w:hAnsi="宋体" w:eastAsia="宋体" w:cs="宋体"/>
                <w:szCs w:val="21"/>
              </w:rPr>
            </w:pPr>
            <w:r>
              <w:rPr>
                <w:rFonts w:hint="eastAsia" w:ascii="宋体" w:hAnsi="宋体" w:eastAsia="宋体" w:cs="宋体"/>
                <w:szCs w:val="21"/>
              </w:rPr>
              <w:t>构成</w:t>
            </w:r>
            <w:r>
              <w:rPr>
                <w:rFonts w:hint="eastAsia" w:ascii="宋体" w:hAnsi="宋体" w:eastAsia="宋体" w:cs="宋体"/>
                <w:szCs w:val="21"/>
                <w:lang w:eastAsia="zh-CN"/>
              </w:rPr>
              <w:t>响应文件</w:t>
            </w:r>
            <w:r>
              <w:rPr>
                <w:rFonts w:hint="eastAsia" w:ascii="宋体" w:hAnsi="宋体" w:eastAsia="宋体" w:cs="宋体"/>
                <w:szCs w:val="21"/>
              </w:rPr>
              <w:t>的其他资料</w:t>
            </w:r>
          </w:p>
        </w:tc>
        <w:tc>
          <w:tcPr>
            <w:tcW w:w="5817" w:type="dxa"/>
            <w:tcBorders>
              <w:top w:val="single" w:color="auto" w:sz="4" w:space="0"/>
              <w:left w:val="single" w:color="auto" w:sz="4" w:space="0"/>
              <w:bottom w:val="single" w:color="auto" w:sz="4" w:space="0"/>
              <w:right w:val="single" w:color="auto" w:sz="4" w:space="0"/>
            </w:tcBorders>
            <w:vAlign w:val="center"/>
          </w:tcPr>
          <w:p w14:paraId="2E99D452">
            <w:pPr>
              <w:spacing w:line="360" w:lineRule="exact"/>
              <w:rPr>
                <w:rFonts w:hint="eastAsia" w:ascii="宋体" w:hAnsi="宋体" w:eastAsia="宋体" w:cs="宋体"/>
                <w:szCs w:val="21"/>
              </w:rPr>
            </w:pPr>
            <w:r>
              <w:rPr>
                <w:rFonts w:hint="eastAsia" w:ascii="宋体" w:hAnsi="宋体" w:eastAsia="宋体" w:cs="宋体"/>
                <w:kern w:val="0"/>
                <w:szCs w:val="21"/>
              </w:rPr>
              <w:t>采购人发出的答疑及补遗书</w:t>
            </w:r>
          </w:p>
        </w:tc>
      </w:tr>
      <w:tr w14:paraId="170CAF8B">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4066AE37">
            <w:pPr>
              <w:spacing w:line="360" w:lineRule="exact"/>
              <w:jc w:val="center"/>
              <w:rPr>
                <w:rFonts w:hint="eastAsia" w:ascii="宋体" w:hAnsi="宋体" w:eastAsia="宋体" w:cs="宋体"/>
                <w:szCs w:val="21"/>
              </w:rPr>
            </w:pPr>
            <w:r>
              <w:rPr>
                <w:rFonts w:hint="eastAsia" w:ascii="宋体" w:hAnsi="宋体" w:eastAsia="宋体" w:cs="宋体"/>
                <w:szCs w:val="21"/>
              </w:rPr>
              <w:t>2.2.1</w:t>
            </w:r>
          </w:p>
        </w:tc>
        <w:tc>
          <w:tcPr>
            <w:tcW w:w="2583" w:type="dxa"/>
            <w:tcBorders>
              <w:top w:val="single" w:color="auto" w:sz="4" w:space="0"/>
              <w:left w:val="single" w:color="auto" w:sz="4" w:space="0"/>
              <w:bottom w:val="single" w:color="auto" w:sz="4" w:space="0"/>
              <w:right w:val="single" w:color="auto" w:sz="4" w:space="0"/>
            </w:tcBorders>
            <w:vAlign w:val="center"/>
          </w:tcPr>
          <w:p w14:paraId="26F5FF42">
            <w:pPr>
              <w:spacing w:line="360" w:lineRule="exact"/>
              <w:jc w:val="center"/>
              <w:rPr>
                <w:rFonts w:hint="eastAsia" w:ascii="宋体" w:hAnsi="宋体" w:eastAsia="宋体" w:cs="宋体"/>
                <w:szCs w:val="21"/>
                <w:lang w:eastAsia="zh-CN"/>
              </w:rPr>
            </w:pPr>
            <w:r>
              <w:rPr>
                <w:rFonts w:hint="eastAsia" w:ascii="宋体" w:hAnsi="宋体" w:eastAsia="宋体" w:cs="宋体"/>
                <w:szCs w:val="21"/>
              </w:rPr>
              <w:t>供应商要求澄清</w:t>
            </w:r>
            <w:r>
              <w:rPr>
                <w:rFonts w:hint="eastAsia" w:ascii="宋体" w:hAnsi="宋体" w:eastAsia="宋体" w:cs="宋体"/>
                <w:szCs w:val="21"/>
                <w:lang w:eastAsia="zh-CN"/>
              </w:rPr>
              <w:t>响应文件</w:t>
            </w:r>
          </w:p>
        </w:tc>
        <w:tc>
          <w:tcPr>
            <w:tcW w:w="5817" w:type="dxa"/>
            <w:tcBorders>
              <w:top w:val="single" w:color="auto" w:sz="4" w:space="0"/>
              <w:left w:val="single" w:color="auto" w:sz="4" w:space="0"/>
              <w:bottom w:val="single" w:color="auto" w:sz="4" w:space="0"/>
              <w:right w:val="single" w:color="auto" w:sz="4" w:space="0"/>
            </w:tcBorders>
            <w:vAlign w:val="center"/>
          </w:tcPr>
          <w:p w14:paraId="788569A2">
            <w:pPr>
              <w:spacing w:line="360" w:lineRule="exact"/>
              <w:rPr>
                <w:rFonts w:hint="eastAsia" w:ascii="宋体" w:hAnsi="宋体" w:eastAsia="宋体" w:cs="宋体"/>
                <w:color w:val="2010FA"/>
                <w:szCs w:val="21"/>
                <w:highlight w:val="yellow"/>
              </w:rPr>
            </w:pPr>
            <w:r>
              <w:rPr>
                <w:rFonts w:hint="eastAsia" w:ascii="宋体" w:hAnsi="宋体" w:eastAsia="宋体" w:cs="宋体"/>
                <w:color w:val="2010FA"/>
                <w:szCs w:val="21"/>
                <w:highlight w:val="yellow"/>
              </w:rPr>
              <w:t>时间：20</w:t>
            </w:r>
            <w:r>
              <w:rPr>
                <w:rFonts w:hint="eastAsia" w:ascii="宋体" w:hAnsi="宋体" w:eastAsia="宋体" w:cs="宋体"/>
                <w:color w:val="2010FA"/>
                <w:szCs w:val="21"/>
                <w:highlight w:val="yellow"/>
                <w:lang w:val="en-US" w:eastAsia="zh-CN"/>
              </w:rPr>
              <w:t>2</w:t>
            </w:r>
            <w:r>
              <w:rPr>
                <w:rFonts w:hint="eastAsia" w:ascii="宋体" w:hAnsi="宋体" w:cs="宋体"/>
                <w:color w:val="2010FA"/>
                <w:szCs w:val="21"/>
                <w:highlight w:val="yellow"/>
                <w:lang w:val="en-US" w:eastAsia="zh-CN"/>
              </w:rPr>
              <w:t>5</w:t>
            </w:r>
            <w:r>
              <w:rPr>
                <w:rFonts w:hint="eastAsia" w:ascii="宋体" w:hAnsi="宋体" w:eastAsia="宋体" w:cs="宋体"/>
                <w:color w:val="2010FA"/>
                <w:szCs w:val="21"/>
                <w:highlight w:val="yellow"/>
              </w:rPr>
              <w:t>年</w:t>
            </w:r>
            <w:r>
              <w:rPr>
                <w:rFonts w:hint="eastAsia" w:ascii="宋体" w:hAnsi="宋体" w:cs="宋体"/>
                <w:color w:val="2010FA"/>
                <w:szCs w:val="21"/>
                <w:highlight w:val="yellow"/>
                <w:lang w:val="en-US" w:eastAsia="zh-CN"/>
              </w:rPr>
              <w:t>7</w:t>
            </w:r>
            <w:r>
              <w:rPr>
                <w:rFonts w:hint="eastAsia" w:ascii="宋体" w:hAnsi="宋体" w:eastAsia="宋体" w:cs="宋体"/>
                <w:color w:val="2010FA"/>
                <w:szCs w:val="21"/>
                <w:highlight w:val="yellow"/>
              </w:rPr>
              <w:t>月</w:t>
            </w:r>
            <w:r>
              <w:rPr>
                <w:rFonts w:hint="eastAsia" w:ascii="宋体" w:hAnsi="宋体" w:cs="宋体"/>
                <w:color w:val="2010FA"/>
                <w:szCs w:val="21"/>
                <w:highlight w:val="yellow"/>
                <w:lang w:val="en-US" w:eastAsia="zh-CN"/>
              </w:rPr>
              <w:t>4</w:t>
            </w:r>
            <w:r>
              <w:rPr>
                <w:rFonts w:hint="eastAsia" w:ascii="宋体" w:hAnsi="宋体" w:eastAsia="宋体" w:cs="宋体"/>
                <w:color w:val="2010FA"/>
                <w:szCs w:val="21"/>
                <w:highlight w:val="yellow"/>
              </w:rPr>
              <w:t>日</w:t>
            </w:r>
            <w:r>
              <w:rPr>
                <w:rFonts w:hint="eastAsia" w:ascii="宋体" w:hAnsi="宋体" w:cs="宋体"/>
                <w:color w:val="2010FA"/>
                <w:szCs w:val="21"/>
                <w:highlight w:val="yellow"/>
                <w:lang w:val="en-US" w:eastAsia="zh-CN"/>
              </w:rPr>
              <w:t>17</w:t>
            </w:r>
            <w:r>
              <w:rPr>
                <w:rFonts w:hint="eastAsia" w:ascii="宋体" w:hAnsi="宋体" w:eastAsia="宋体" w:cs="宋体"/>
                <w:color w:val="2010FA"/>
                <w:szCs w:val="21"/>
                <w:highlight w:val="yellow"/>
              </w:rPr>
              <w:t>时</w:t>
            </w:r>
            <w:r>
              <w:rPr>
                <w:rFonts w:hint="eastAsia" w:ascii="宋体" w:hAnsi="宋体" w:cs="宋体"/>
                <w:color w:val="2010FA"/>
                <w:szCs w:val="21"/>
                <w:highlight w:val="yellow"/>
                <w:lang w:val="en-US" w:eastAsia="zh-CN"/>
              </w:rPr>
              <w:t>30分</w:t>
            </w:r>
            <w:r>
              <w:rPr>
                <w:rFonts w:hint="eastAsia" w:ascii="宋体" w:hAnsi="宋体" w:eastAsia="宋体" w:cs="宋体"/>
                <w:color w:val="2010FA"/>
                <w:szCs w:val="21"/>
                <w:highlight w:val="yellow"/>
                <w:lang w:eastAsia="zh-CN"/>
              </w:rPr>
              <w:t>前</w:t>
            </w:r>
          </w:p>
          <w:p w14:paraId="72789B8E">
            <w:pPr>
              <w:spacing w:line="360" w:lineRule="exact"/>
              <w:rPr>
                <w:rFonts w:hint="eastAsia" w:ascii="宋体" w:hAnsi="宋体" w:eastAsia="宋体" w:cs="宋体"/>
                <w:szCs w:val="21"/>
              </w:rPr>
            </w:pPr>
            <w:r>
              <w:rPr>
                <w:rFonts w:hint="eastAsia" w:ascii="宋体" w:hAnsi="宋体" w:eastAsia="宋体" w:cs="宋体"/>
                <w:color w:val="000000"/>
                <w:szCs w:val="21"/>
              </w:rPr>
              <w:t>形式：供应商需答疑的问题须以word格式文件（供应商须同时提供扫描盖章件及未扫描盖章可编辑模式的Word文档）发至采购联系人邮箱（</w:t>
            </w:r>
            <w:r>
              <w:rPr>
                <w:rFonts w:hint="eastAsia" w:ascii="宋体" w:hAnsi="宋体" w:eastAsia="宋体" w:cs="宋体"/>
                <w:bCs/>
                <w:color w:val="auto"/>
                <w:szCs w:val="21"/>
                <w:highlight w:val="none"/>
                <w:u w:val="none"/>
                <w:lang w:val="en-US" w:eastAsia="zh-CN"/>
              </w:rPr>
              <w:fldChar w:fldCharType="begin"/>
            </w:r>
            <w:r>
              <w:rPr>
                <w:rFonts w:hint="eastAsia" w:ascii="宋体" w:hAnsi="宋体" w:eastAsia="宋体" w:cs="宋体"/>
                <w:bCs/>
                <w:color w:val="auto"/>
                <w:szCs w:val="21"/>
                <w:highlight w:val="none"/>
                <w:u w:val="none"/>
                <w:lang w:val="en-US" w:eastAsia="zh-CN"/>
              </w:rPr>
              <w:instrText xml:space="preserve"> HYPERLINK "javascript:;" </w:instrText>
            </w:r>
            <w:r>
              <w:rPr>
                <w:rFonts w:hint="eastAsia" w:ascii="宋体" w:hAnsi="宋体" w:eastAsia="宋体" w:cs="宋体"/>
                <w:bCs/>
                <w:color w:val="auto"/>
                <w:szCs w:val="21"/>
                <w:highlight w:val="none"/>
                <w:u w:val="none"/>
                <w:lang w:val="en-US" w:eastAsia="zh-CN"/>
              </w:rPr>
              <w:fldChar w:fldCharType="separate"/>
            </w:r>
            <w:r>
              <w:rPr>
                <w:rFonts w:hint="eastAsia" w:ascii="宋体" w:hAnsi="宋体" w:cs="宋体"/>
                <w:bCs/>
                <w:color w:val="auto"/>
                <w:szCs w:val="21"/>
                <w:highlight w:val="none"/>
                <w:u w:val="none"/>
                <w:lang w:val="en-US" w:eastAsia="zh-CN"/>
              </w:rPr>
              <w:t>hu_yu@cqsxsl.com</w:t>
            </w:r>
            <w:r>
              <w:rPr>
                <w:rFonts w:hint="eastAsia" w:ascii="宋体" w:hAnsi="宋体" w:eastAsia="宋体" w:cs="宋体"/>
                <w:bCs/>
                <w:color w:val="auto"/>
                <w:szCs w:val="21"/>
                <w:highlight w:val="none"/>
                <w:u w:val="none"/>
                <w:lang w:val="en-US" w:eastAsia="zh-CN"/>
              </w:rPr>
              <w:fldChar w:fldCharType="end"/>
            </w:r>
            <w:r>
              <w:rPr>
                <w:rFonts w:hint="eastAsia" w:ascii="宋体" w:hAnsi="宋体" w:eastAsia="宋体" w:cs="宋体"/>
                <w:bCs/>
                <w:color w:val="auto"/>
                <w:szCs w:val="21"/>
                <w:highlight w:val="none"/>
                <w:u w:val="none"/>
                <w:lang w:val="en-US" w:eastAsia="zh-CN"/>
              </w:rPr>
              <w:t>）</w:t>
            </w:r>
            <w:r>
              <w:rPr>
                <w:rFonts w:hint="eastAsia" w:ascii="宋体" w:hAnsi="宋体" w:eastAsia="宋体" w:cs="宋体"/>
                <w:color w:val="000000"/>
                <w:szCs w:val="21"/>
              </w:rPr>
              <w:t>，以方便组织答疑。供应商未在规定时间内提出质疑，则视为供应商已全面确认</w:t>
            </w:r>
            <w:r>
              <w:rPr>
                <w:rFonts w:hint="eastAsia" w:ascii="宋体" w:hAnsi="宋体" w:eastAsia="宋体" w:cs="宋体"/>
                <w:color w:val="000000"/>
                <w:szCs w:val="21"/>
                <w:lang w:eastAsia="zh-CN"/>
              </w:rPr>
              <w:t>响应文件</w:t>
            </w:r>
            <w:r>
              <w:rPr>
                <w:rFonts w:hint="eastAsia" w:ascii="宋体" w:hAnsi="宋体" w:eastAsia="宋体" w:cs="宋体"/>
                <w:color w:val="000000"/>
                <w:szCs w:val="21"/>
              </w:rPr>
              <w:t>及相关文件内容。</w:t>
            </w:r>
          </w:p>
        </w:tc>
      </w:tr>
      <w:tr w14:paraId="269867CD">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E897E91">
            <w:pPr>
              <w:spacing w:line="360" w:lineRule="exact"/>
              <w:jc w:val="center"/>
              <w:rPr>
                <w:rFonts w:hint="eastAsia" w:ascii="宋体" w:hAnsi="宋体" w:eastAsia="宋体" w:cs="宋体"/>
                <w:szCs w:val="21"/>
              </w:rPr>
            </w:pPr>
            <w:r>
              <w:rPr>
                <w:rFonts w:hint="eastAsia" w:ascii="宋体" w:hAnsi="宋体" w:eastAsia="宋体" w:cs="宋体"/>
                <w:szCs w:val="21"/>
              </w:rPr>
              <w:t>3.1.1</w:t>
            </w:r>
          </w:p>
        </w:tc>
        <w:tc>
          <w:tcPr>
            <w:tcW w:w="2583" w:type="dxa"/>
            <w:tcBorders>
              <w:top w:val="single" w:color="auto" w:sz="4" w:space="0"/>
              <w:left w:val="single" w:color="auto" w:sz="4" w:space="0"/>
              <w:bottom w:val="single" w:color="auto" w:sz="4" w:space="0"/>
              <w:right w:val="single" w:color="auto" w:sz="4" w:space="0"/>
            </w:tcBorders>
            <w:vAlign w:val="center"/>
          </w:tcPr>
          <w:p w14:paraId="35D9DA27">
            <w:pPr>
              <w:spacing w:line="360" w:lineRule="exact"/>
              <w:jc w:val="center"/>
              <w:rPr>
                <w:rFonts w:hint="eastAsia" w:ascii="宋体" w:hAnsi="宋体" w:eastAsia="宋体" w:cs="宋体"/>
                <w:szCs w:val="21"/>
              </w:rPr>
            </w:pPr>
            <w:r>
              <w:rPr>
                <w:rFonts w:hint="eastAsia" w:ascii="宋体" w:hAnsi="宋体" w:eastAsia="宋体" w:cs="宋体"/>
                <w:szCs w:val="21"/>
              </w:rPr>
              <w:t>构成</w:t>
            </w:r>
            <w:r>
              <w:rPr>
                <w:rFonts w:hint="eastAsia" w:ascii="宋体" w:hAnsi="宋体" w:eastAsia="宋体" w:cs="宋体"/>
                <w:szCs w:val="21"/>
                <w:lang w:eastAsia="zh-CN"/>
              </w:rPr>
              <w:t>响应文件</w:t>
            </w:r>
            <w:r>
              <w:rPr>
                <w:rFonts w:hint="eastAsia" w:ascii="宋体" w:hAnsi="宋体" w:eastAsia="宋体" w:cs="宋体"/>
                <w:szCs w:val="21"/>
              </w:rPr>
              <w:t>的其他资料</w:t>
            </w:r>
          </w:p>
        </w:tc>
        <w:tc>
          <w:tcPr>
            <w:tcW w:w="5817" w:type="dxa"/>
            <w:tcBorders>
              <w:top w:val="single" w:color="auto" w:sz="4" w:space="0"/>
              <w:left w:val="single" w:color="auto" w:sz="4" w:space="0"/>
              <w:bottom w:val="single" w:color="auto" w:sz="4" w:space="0"/>
              <w:right w:val="single" w:color="auto" w:sz="4" w:space="0"/>
            </w:tcBorders>
            <w:vAlign w:val="center"/>
          </w:tcPr>
          <w:p w14:paraId="3CCFBDC4">
            <w:pPr>
              <w:spacing w:line="360" w:lineRule="exact"/>
              <w:rPr>
                <w:rFonts w:hint="eastAsia" w:ascii="宋体" w:hAnsi="宋体" w:eastAsia="宋体" w:cs="宋体"/>
                <w:szCs w:val="21"/>
              </w:rPr>
            </w:pPr>
            <w:r>
              <w:rPr>
                <w:rFonts w:hint="eastAsia" w:ascii="宋体" w:hAnsi="宋体" w:eastAsia="宋体" w:cs="宋体"/>
                <w:kern w:val="0"/>
                <w:szCs w:val="21"/>
              </w:rPr>
              <w:t>供应商的书面澄清、说明和补正（但不得改变</w:t>
            </w:r>
            <w:r>
              <w:rPr>
                <w:rFonts w:hint="eastAsia" w:ascii="宋体" w:hAnsi="宋体" w:eastAsia="宋体" w:cs="宋体"/>
                <w:kern w:val="0"/>
                <w:szCs w:val="21"/>
                <w:lang w:eastAsia="zh-CN"/>
              </w:rPr>
              <w:t>响应文件</w:t>
            </w:r>
            <w:r>
              <w:rPr>
                <w:rFonts w:hint="eastAsia" w:ascii="宋体" w:hAnsi="宋体" w:eastAsia="宋体" w:cs="宋体"/>
                <w:kern w:val="0"/>
                <w:szCs w:val="21"/>
              </w:rPr>
              <w:t>的实质性内容）</w:t>
            </w:r>
          </w:p>
        </w:tc>
      </w:tr>
      <w:tr w14:paraId="41B84AA1">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297A804A">
            <w:pPr>
              <w:spacing w:line="360" w:lineRule="exact"/>
              <w:jc w:val="center"/>
              <w:rPr>
                <w:rFonts w:hint="eastAsia" w:ascii="宋体" w:hAnsi="宋体" w:eastAsia="宋体" w:cs="宋体"/>
                <w:szCs w:val="21"/>
              </w:rPr>
            </w:pPr>
            <w:r>
              <w:rPr>
                <w:rFonts w:hint="eastAsia" w:ascii="宋体" w:hAnsi="宋体" w:eastAsia="宋体" w:cs="宋体"/>
                <w:szCs w:val="21"/>
              </w:rPr>
              <w:t>3.2.1</w:t>
            </w:r>
          </w:p>
        </w:tc>
        <w:tc>
          <w:tcPr>
            <w:tcW w:w="2583" w:type="dxa"/>
            <w:tcBorders>
              <w:top w:val="single" w:color="auto" w:sz="4" w:space="0"/>
              <w:left w:val="single" w:color="auto" w:sz="4" w:space="0"/>
              <w:bottom w:val="single" w:color="auto" w:sz="4" w:space="0"/>
              <w:right w:val="single" w:color="auto" w:sz="4" w:space="0"/>
            </w:tcBorders>
            <w:vAlign w:val="center"/>
          </w:tcPr>
          <w:p w14:paraId="70F2B2C7">
            <w:pPr>
              <w:spacing w:line="360" w:lineRule="exact"/>
              <w:jc w:val="center"/>
              <w:rPr>
                <w:rFonts w:hint="eastAsia" w:ascii="宋体" w:hAnsi="宋体" w:eastAsia="宋体" w:cs="宋体"/>
                <w:szCs w:val="21"/>
              </w:rPr>
            </w:pPr>
            <w:r>
              <w:rPr>
                <w:rFonts w:hint="eastAsia" w:ascii="宋体" w:hAnsi="宋体" w:eastAsia="宋体" w:cs="宋体"/>
                <w:szCs w:val="21"/>
              </w:rPr>
              <w:t>增值税税金的计算方法</w:t>
            </w:r>
          </w:p>
        </w:tc>
        <w:tc>
          <w:tcPr>
            <w:tcW w:w="5817" w:type="dxa"/>
            <w:tcBorders>
              <w:top w:val="single" w:color="auto" w:sz="4" w:space="0"/>
              <w:left w:val="single" w:color="auto" w:sz="4" w:space="0"/>
              <w:bottom w:val="single" w:color="auto" w:sz="4" w:space="0"/>
              <w:right w:val="single" w:color="auto" w:sz="4" w:space="0"/>
            </w:tcBorders>
            <w:vAlign w:val="center"/>
          </w:tcPr>
          <w:p w14:paraId="17DB1989">
            <w:pPr>
              <w:spacing w:line="360" w:lineRule="exact"/>
              <w:rPr>
                <w:rFonts w:hint="eastAsia" w:ascii="宋体" w:hAnsi="宋体" w:eastAsia="宋体" w:cs="宋体"/>
                <w:szCs w:val="21"/>
              </w:rPr>
            </w:pPr>
            <w:r>
              <w:rPr>
                <w:rFonts w:hint="eastAsia" w:ascii="宋体" w:hAnsi="宋体" w:eastAsia="宋体" w:cs="宋体"/>
                <w:szCs w:val="21"/>
              </w:rPr>
              <w:t>按国家现行标准进行计算</w:t>
            </w:r>
          </w:p>
        </w:tc>
      </w:tr>
      <w:tr w14:paraId="1BAC7840">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8C98420">
            <w:pPr>
              <w:spacing w:line="360" w:lineRule="exact"/>
              <w:jc w:val="center"/>
              <w:rPr>
                <w:rFonts w:hint="eastAsia" w:ascii="宋体" w:hAnsi="宋体" w:eastAsia="宋体" w:cs="宋体"/>
                <w:szCs w:val="21"/>
              </w:rPr>
            </w:pPr>
            <w:r>
              <w:rPr>
                <w:rFonts w:hint="eastAsia" w:ascii="宋体" w:hAnsi="宋体" w:eastAsia="宋体" w:cs="宋体"/>
                <w:szCs w:val="21"/>
              </w:rPr>
              <w:t>3.2.3</w:t>
            </w:r>
          </w:p>
        </w:tc>
        <w:tc>
          <w:tcPr>
            <w:tcW w:w="2583" w:type="dxa"/>
            <w:tcBorders>
              <w:top w:val="single" w:color="auto" w:sz="4" w:space="0"/>
              <w:left w:val="single" w:color="auto" w:sz="4" w:space="0"/>
              <w:bottom w:val="single" w:color="auto" w:sz="4" w:space="0"/>
              <w:right w:val="single" w:color="auto" w:sz="4" w:space="0"/>
            </w:tcBorders>
            <w:vAlign w:val="center"/>
          </w:tcPr>
          <w:p w14:paraId="7CEAA50B">
            <w:pPr>
              <w:spacing w:line="360" w:lineRule="exact"/>
              <w:jc w:val="center"/>
              <w:rPr>
                <w:rFonts w:hint="eastAsia" w:ascii="宋体" w:hAnsi="宋体" w:eastAsia="宋体" w:cs="宋体"/>
                <w:szCs w:val="21"/>
              </w:rPr>
            </w:pPr>
            <w:r>
              <w:rPr>
                <w:rFonts w:hint="eastAsia" w:ascii="宋体" w:hAnsi="宋体" w:eastAsia="宋体" w:cs="宋体"/>
                <w:szCs w:val="21"/>
              </w:rPr>
              <w:t>报价方式</w:t>
            </w:r>
          </w:p>
        </w:tc>
        <w:tc>
          <w:tcPr>
            <w:tcW w:w="5817" w:type="dxa"/>
            <w:tcBorders>
              <w:top w:val="single" w:color="auto" w:sz="4" w:space="0"/>
              <w:left w:val="single" w:color="auto" w:sz="4" w:space="0"/>
              <w:bottom w:val="single" w:color="auto" w:sz="4" w:space="0"/>
              <w:right w:val="single" w:color="auto" w:sz="4" w:space="0"/>
            </w:tcBorders>
            <w:vAlign w:val="center"/>
          </w:tcPr>
          <w:p w14:paraId="6B1B95C2">
            <w:pPr>
              <w:keepNext w:val="0"/>
              <w:keepLines w:val="0"/>
              <w:pageBreakBefore w:val="0"/>
              <w:kinsoku/>
              <w:overflowPunct/>
              <w:topLinePunct w:val="0"/>
              <w:bidi w:val="0"/>
              <w:snapToGrid w:val="0"/>
              <w:spacing w:line="400" w:lineRule="exact"/>
              <w:ind w:firstLine="420" w:firstLineChars="200"/>
              <w:jc w:val="both"/>
              <w:textAlignment w:val="auto"/>
              <w:rPr>
                <w:rFonts w:hint="eastAsia" w:ascii="宋体" w:hAnsi="宋体" w:cs="Times New Roman"/>
                <w:color w:val="auto"/>
                <w:kern w:val="0"/>
                <w:szCs w:val="21"/>
                <w:highlight w:val="none"/>
              </w:rPr>
            </w:pPr>
            <w:r>
              <w:rPr>
                <w:rFonts w:hint="eastAsia" w:ascii="宋体" w:hAnsi="宋体" w:cs="Times New Roman"/>
                <w:color w:val="auto"/>
                <w:kern w:val="0"/>
                <w:szCs w:val="21"/>
                <w:highlight w:val="none"/>
              </w:rPr>
              <w:t>1.投标人应按本须知1.3</w:t>
            </w:r>
            <w:r>
              <w:rPr>
                <w:rFonts w:hint="eastAsia" w:ascii="宋体" w:hAnsi="宋体" w:cs="Times New Roman"/>
                <w:color w:val="auto"/>
                <w:kern w:val="0"/>
                <w:szCs w:val="21"/>
                <w:highlight w:val="none"/>
                <w:lang w:val="en-US" w:eastAsia="zh-CN"/>
              </w:rPr>
              <w:t>.1</w:t>
            </w:r>
            <w:r>
              <w:rPr>
                <w:rFonts w:hint="eastAsia" w:ascii="宋体" w:hAnsi="宋体" w:cs="Times New Roman"/>
                <w:color w:val="auto"/>
                <w:kern w:val="0"/>
                <w:szCs w:val="21"/>
                <w:highlight w:val="none"/>
              </w:rPr>
              <w:t>条和第五章“供货要求”填写“</w:t>
            </w:r>
            <w:r>
              <w:rPr>
                <w:rFonts w:hint="eastAsia" w:ascii="宋体" w:hAnsi="宋体" w:cs="Times New Roman"/>
                <w:color w:val="auto"/>
                <w:kern w:val="0"/>
                <w:szCs w:val="21"/>
                <w:highlight w:val="none"/>
                <w:lang w:val="en-US" w:eastAsia="zh-CN"/>
              </w:rPr>
              <w:t>分项报价表</w:t>
            </w:r>
            <w:r>
              <w:rPr>
                <w:rFonts w:hint="eastAsia" w:ascii="宋体" w:hAnsi="宋体" w:cs="Times New Roman"/>
                <w:color w:val="auto"/>
                <w:kern w:val="0"/>
                <w:szCs w:val="21"/>
                <w:highlight w:val="none"/>
              </w:rPr>
              <w:t>”。投标人的投标报价应是本章投标人须知1.3项中的全部内容的投标报价。投标人没有填入单价或总价的</w:t>
            </w:r>
            <w:r>
              <w:rPr>
                <w:rFonts w:hint="eastAsia" w:ascii="宋体" w:hAnsi="宋体" w:cs="Times New Roman"/>
                <w:color w:val="auto"/>
                <w:kern w:val="0"/>
                <w:szCs w:val="21"/>
                <w:highlight w:val="none"/>
                <w:lang w:val="en-US"/>
              </w:rPr>
              <w:t>设备清单子项</w:t>
            </w:r>
            <w:r>
              <w:rPr>
                <w:rFonts w:hint="eastAsia" w:ascii="宋体" w:hAnsi="宋体" w:cs="Times New Roman"/>
                <w:color w:val="auto"/>
                <w:kern w:val="0"/>
                <w:szCs w:val="21"/>
                <w:highlight w:val="none"/>
              </w:rPr>
              <w:t>，招标人将认为该子</w:t>
            </w:r>
            <w:r>
              <w:rPr>
                <w:rFonts w:hint="eastAsia" w:ascii="宋体" w:hAnsi="宋体" w:cs="Times New Roman"/>
                <w:color w:val="auto"/>
                <w:kern w:val="0"/>
                <w:szCs w:val="21"/>
                <w:highlight w:val="none"/>
                <w:lang w:val="en-US"/>
              </w:rPr>
              <w:t>项</w:t>
            </w:r>
            <w:r>
              <w:rPr>
                <w:rFonts w:hint="eastAsia" w:ascii="宋体" w:hAnsi="宋体" w:cs="Times New Roman"/>
                <w:color w:val="auto"/>
                <w:kern w:val="0"/>
                <w:szCs w:val="21"/>
                <w:highlight w:val="none"/>
              </w:rPr>
              <w:t>的价款已包括在其他</w:t>
            </w:r>
            <w:r>
              <w:rPr>
                <w:rFonts w:hint="eastAsia" w:ascii="宋体" w:hAnsi="宋体" w:cs="Times New Roman"/>
                <w:color w:val="auto"/>
                <w:kern w:val="0"/>
                <w:szCs w:val="21"/>
                <w:highlight w:val="none"/>
                <w:lang w:val="en-US"/>
              </w:rPr>
              <w:t>子项</w:t>
            </w:r>
            <w:r>
              <w:rPr>
                <w:rFonts w:hint="eastAsia" w:ascii="宋体" w:hAnsi="宋体" w:cs="Times New Roman"/>
                <w:color w:val="auto"/>
                <w:kern w:val="0"/>
                <w:szCs w:val="21"/>
                <w:highlight w:val="none"/>
              </w:rPr>
              <w:t>的单价和总价中。</w:t>
            </w:r>
          </w:p>
          <w:p w14:paraId="1454B787">
            <w:pPr>
              <w:keepNext w:val="0"/>
              <w:keepLines w:val="0"/>
              <w:pageBreakBefore w:val="0"/>
              <w:kinsoku/>
              <w:overflowPunct/>
              <w:topLinePunct w:val="0"/>
              <w:bidi w:val="0"/>
              <w:snapToGrid w:val="0"/>
              <w:spacing w:line="400" w:lineRule="exact"/>
              <w:ind w:firstLine="420" w:firstLineChars="200"/>
              <w:jc w:val="both"/>
              <w:textAlignment w:val="auto"/>
              <w:rPr>
                <w:rFonts w:hint="eastAsia" w:eastAsia="宋体"/>
                <w:color w:val="auto"/>
                <w:highlight w:val="none"/>
                <w:lang w:val="en-US" w:eastAsia="zh-CN"/>
              </w:rPr>
            </w:pPr>
            <w:r>
              <w:rPr>
                <w:rFonts w:hint="eastAsia" w:ascii="宋体" w:hAnsi="宋体" w:cs="Times New Roman"/>
                <w:color w:val="auto"/>
                <w:kern w:val="0"/>
                <w:szCs w:val="21"/>
                <w:highlight w:val="none"/>
              </w:rPr>
              <w:t>2.投标报价应包含但不限于：投标产品的设计费、制造费、包装费、运费（货到招标人指定现场交货）、仓储费、检验费、风险费、技术协调费及其附带工程实施费（含设备、备品备件、特殊工具；用户培训；经验收合格后向招标人移交及售后服务等费用）、验收费、税费、保险费、指导安装调试费等</w:t>
            </w:r>
            <w:r>
              <w:rPr>
                <w:rFonts w:hint="eastAsia" w:ascii="宋体" w:hAnsi="宋体" w:cs="Times New Roman"/>
                <w:color w:val="auto"/>
                <w:kern w:val="0"/>
                <w:szCs w:val="21"/>
                <w:highlight w:val="none"/>
                <w:lang w:eastAsia="zh-CN"/>
              </w:rPr>
              <w:t>。</w:t>
            </w:r>
          </w:p>
          <w:p w14:paraId="4F159539">
            <w:pPr>
              <w:keepNext w:val="0"/>
              <w:keepLines w:val="0"/>
              <w:pageBreakBefore w:val="0"/>
              <w:kinsoku/>
              <w:overflowPunct/>
              <w:topLinePunct w:val="0"/>
              <w:bidi w:val="0"/>
              <w:adjustRightInd/>
              <w:snapToGrid w:val="0"/>
              <w:spacing w:line="400" w:lineRule="exact"/>
              <w:ind w:firstLine="420" w:firstLineChars="200"/>
              <w:jc w:val="both"/>
              <w:textAlignment w:val="auto"/>
              <w:rPr>
                <w:rFonts w:hint="eastAsia" w:ascii="宋体" w:hAnsi="宋体"/>
                <w:color w:val="auto"/>
                <w:kern w:val="0"/>
                <w:szCs w:val="21"/>
                <w:highlight w:val="none"/>
              </w:rPr>
            </w:pPr>
            <w:r>
              <w:rPr>
                <w:rFonts w:hint="eastAsia" w:ascii="宋体" w:hAnsi="宋体"/>
                <w:color w:val="auto"/>
                <w:kern w:val="0"/>
                <w:szCs w:val="21"/>
                <w:highlight w:val="none"/>
                <w:lang w:val="en-US" w:eastAsia="zh-CN"/>
              </w:rPr>
              <w:t>3</w:t>
            </w:r>
            <w:r>
              <w:rPr>
                <w:rFonts w:hint="eastAsia" w:ascii="宋体" w:hAnsi="宋体"/>
                <w:color w:val="auto"/>
                <w:kern w:val="0"/>
                <w:szCs w:val="21"/>
                <w:highlight w:val="none"/>
                <w:lang w:val="en-US"/>
              </w:rPr>
              <w:t>.在</w:t>
            </w:r>
            <w:r>
              <w:rPr>
                <w:rFonts w:hint="eastAsia" w:ascii="宋体" w:hAnsi="宋体"/>
                <w:color w:val="auto"/>
                <w:kern w:val="0"/>
                <w:szCs w:val="21"/>
                <w:highlight w:val="none"/>
                <w:lang w:val="en-US" w:eastAsia="zh-CN"/>
              </w:rPr>
              <w:t>采购</w:t>
            </w:r>
            <w:r>
              <w:rPr>
                <w:rFonts w:hint="eastAsia" w:ascii="宋体" w:hAnsi="宋体"/>
                <w:color w:val="auto"/>
                <w:kern w:val="0"/>
                <w:szCs w:val="21"/>
                <w:highlight w:val="none"/>
                <w:lang w:val="en-US"/>
              </w:rPr>
              <w:t>文件中如有未专门提到的任何元件和装置，但对于构成一个完整的、性能良好的仪器设备是必不可少的，或者对于仪器设备安全、稳定运行或对于改善仪器设备运行品质是必要的，或安装、调试和运行过程中易损坏的零部件（不仅限于此），投标人应予以提供（单独表格列出），并在投标文件中列出明细表和单价，其费用应包括在投标报价中，否则招标人可认为该部份已包含在投标报价内，中标后投标报价一概不作调整。</w:t>
            </w:r>
          </w:p>
          <w:p w14:paraId="1D104211">
            <w:pPr>
              <w:keepNext w:val="0"/>
              <w:keepLines w:val="0"/>
              <w:pageBreakBefore w:val="0"/>
              <w:kinsoku/>
              <w:overflowPunct/>
              <w:topLinePunct w:val="0"/>
              <w:bidi w:val="0"/>
              <w:snapToGrid w:val="0"/>
              <w:spacing w:line="400" w:lineRule="exact"/>
              <w:ind w:firstLine="420" w:firstLineChars="200"/>
              <w:jc w:val="both"/>
              <w:textAlignment w:val="auto"/>
              <w:rPr>
                <w:rFonts w:hint="eastAsia" w:ascii="宋体" w:hAnsi="宋体" w:cs="Times New Roman"/>
                <w:color w:val="auto"/>
                <w:kern w:val="0"/>
                <w:szCs w:val="21"/>
                <w:highlight w:val="none"/>
                <w:lang w:val="en-US"/>
              </w:rPr>
            </w:pPr>
            <w:r>
              <w:rPr>
                <w:rFonts w:hint="eastAsia" w:ascii="宋体" w:hAnsi="宋体" w:cs="Times New Roman"/>
                <w:color w:val="auto"/>
                <w:kern w:val="0"/>
                <w:szCs w:val="21"/>
                <w:highlight w:val="none"/>
                <w:lang w:val="en-US" w:eastAsia="zh-CN"/>
              </w:rPr>
              <w:t>4</w:t>
            </w:r>
            <w:r>
              <w:rPr>
                <w:rFonts w:hint="eastAsia" w:ascii="宋体" w:hAnsi="宋体" w:cs="Times New Roman"/>
                <w:color w:val="auto"/>
                <w:kern w:val="0"/>
                <w:szCs w:val="21"/>
                <w:highlight w:val="none"/>
              </w:rPr>
              <w:t>.投标人投标函报价必须与</w:t>
            </w:r>
            <w:r>
              <w:rPr>
                <w:rFonts w:hint="eastAsia" w:ascii="宋体" w:hAnsi="宋体" w:cs="Times New Roman"/>
                <w:color w:val="auto"/>
                <w:kern w:val="0"/>
                <w:szCs w:val="21"/>
                <w:highlight w:val="none"/>
                <w:lang w:val="en-US" w:eastAsia="zh-CN"/>
              </w:rPr>
              <w:t>分项报价表</w:t>
            </w:r>
            <w:r>
              <w:rPr>
                <w:rFonts w:hint="eastAsia" w:ascii="宋体" w:hAnsi="宋体" w:cs="Times New Roman"/>
                <w:color w:val="auto"/>
                <w:kern w:val="0"/>
                <w:szCs w:val="21"/>
                <w:highlight w:val="none"/>
              </w:rPr>
              <w:t>的合计金额一致，否则将视为提供备选方案，其投标将被否决。</w:t>
            </w:r>
          </w:p>
          <w:p w14:paraId="23E2BD1C">
            <w:pPr>
              <w:keepNext w:val="0"/>
              <w:keepLines w:val="0"/>
              <w:pageBreakBefore w:val="0"/>
              <w:kinsoku/>
              <w:overflowPunct/>
              <w:topLinePunct w:val="0"/>
              <w:bidi w:val="0"/>
              <w:snapToGrid w:val="0"/>
              <w:spacing w:line="400" w:lineRule="exact"/>
              <w:ind w:firstLine="420" w:firstLineChars="200"/>
              <w:jc w:val="both"/>
              <w:textAlignment w:val="auto"/>
              <w:rPr>
                <w:rFonts w:hint="eastAsia" w:ascii="宋体" w:hAnsi="宋体" w:cs="Times New Roman"/>
                <w:color w:val="auto"/>
                <w:kern w:val="0"/>
                <w:szCs w:val="21"/>
                <w:highlight w:val="none"/>
                <w:lang w:val="en-US"/>
              </w:rPr>
            </w:pPr>
            <w:r>
              <w:rPr>
                <w:rFonts w:hint="eastAsia" w:ascii="宋体" w:hAnsi="宋体" w:cs="Times New Roman"/>
                <w:color w:val="auto"/>
                <w:kern w:val="0"/>
                <w:szCs w:val="21"/>
                <w:highlight w:val="none"/>
                <w:lang w:val="en-US" w:eastAsia="zh-CN"/>
              </w:rPr>
              <w:t>5</w:t>
            </w:r>
            <w:r>
              <w:rPr>
                <w:rFonts w:hint="eastAsia" w:ascii="宋体" w:hAnsi="宋体" w:cs="Times New Roman"/>
                <w:color w:val="auto"/>
                <w:kern w:val="0"/>
                <w:szCs w:val="21"/>
                <w:highlight w:val="none"/>
                <w:lang w:val="en-US"/>
              </w:rPr>
              <w:t>.开标一览表数据与投标函不一致时，以投标函为准。</w:t>
            </w:r>
          </w:p>
          <w:p w14:paraId="644DF97B">
            <w:pPr>
              <w:snapToGrid w:val="0"/>
              <w:spacing w:line="360" w:lineRule="exact"/>
              <w:ind w:firstLine="420" w:firstLineChars="200"/>
              <w:rPr>
                <w:rFonts w:hint="eastAsia" w:ascii="宋体" w:hAnsi="宋体" w:eastAsia="宋体" w:cs="宋体"/>
                <w:szCs w:val="21"/>
              </w:rPr>
            </w:pPr>
            <w:r>
              <w:rPr>
                <w:rFonts w:hint="eastAsia" w:ascii="宋体" w:hAnsi="宋体" w:cs="Times New Roman"/>
                <w:color w:val="auto"/>
                <w:kern w:val="0"/>
                <w:szCs w:val="21"/>
                <w:highlight w:val="none"/>
                <w:lang w:val="en-US" w:eastAsia="zh-CN"/>
              </w:rPr>
              <w:t>6.</w:t>
            </w:r>
            <w:r>
              <w:rPr>
                <w:rFonts w:hint="eastAsia" w:ascii="宋体" w:hAnsi="宋体" w:cs="Times New Roman"/>
                <w:color w:val="auto"/>
                <w:kern w:val="0"/>
                <w:szCs w:val="21"/>
                <w:highlight w:val="none"/>
              </w:rPr>
              <w:t>投标人在投标前需自行踏勘现场，并充分考虑运输方案。</w:t>
            </w:r>
          </w:p>
        </w:tc>
      </w:tr>
      <w:tr w14:paraId="0E6E8BA2">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51FEAF3E">
            <w:pPr>
              <w:adjustRightInd w:val="0"/>
              <w:snapToGrid w:val="0"/>
              <w:spacing w:line="360" w:lineRule="exact"/>
              <w:jc w:val="center"/>
              <w:rPr>
                <w:rFonts w:hint="eastAsia" w:ascii="宋体" w:hAnsi="宋体" w:eastAsia="宋体" w:cs="宋体"/>
                <w:szCs w:val="21"/>
              </w:rPr>
            </w:pPr>
            <w:r>
              <w:rPr>
                <w:rFonts w:hint="eastAsia" w:ascii="宋体" w:hAnsi="宋体" w:eastAsia="宋体" w:cs="宋体"/>
                <w:szCs w:val="21"/>
              </w:rPr>
              <w:t>3.2.4</w:t>
            </w:r>
          </w:p>
        </w:tc>
        <w:tc>
          <w:tcPr>
            <w:tcW w:w="2583" w:type="dxa"/>
            <w:tcBorders>
              <w:top w:val="single" w:color="auto" w:sz="4" w:space="0"/>
              <w:left w:val="single" w:color="auto" w:sz="4" w:space="0"/>
              <w:bottom w:val="single" w:color="auto" w:sz="4" w:space="0"/>
              <w:right w:val="single" w:color="auto" w:sz="4" w:space="0"/>
            </w:tcBorders>
            <w:vAlign w:val="center"/>
          </w:tcPr>
          <w:p w14:paraId="4717E3AA">
            <w:pPr>
              <w:adjustRightInd w:val="0"/>
              <w:snapToGrid w:val="0"/>
              <w:spacing w:line="360" w:lineRule="exact"/>
              <w:jc w:val="center"/>
              <w:rPr>
                <w:rFonts w:hint="eastAsia" w:ascii="宋体" w:hAnsi="宋体" w:eastAsia="宋体" w:cs="宋体"/>
                <w:szCs w:val="21"/>
              </w:rPr>
            </w:pPr>
            <w:r>
              <w:rPr>
                <w:rFonts w:hint="eastAsia" w:ascii="宋体" w:hAnsi="宋体" w:eastAsia="宋体" w:cs="宋体"/>
                <w:szCs w:val="21"/>
                <w:lang w:eastAsia="zh-CN"/>
              </w:rPr>
              <w:t>谈判</w:t>
            </w:r>
            <w:r>
              <w:rPr>
                <w:rFonts w:hint="eastAsia" w:ascii="宋体" w:hAnsi="宋体" w:eastAsia="宋体" w:cs="宋体"/>
                <w:szCs w:val="21"/>
              </w:rPr>
              <w:t>最高限价</w:t>
            </w:r>
          </w:p>
        </w:tc>
        <w:tc>
          <w:tcPr>
            <w:tcW w:w="5817" w:type="dxa"/>
            <w:tcBorders>
              <w:top w:val="single" w:color="auto" w:sz="4" w:space="0"/>
              <w:left w:val="single" w:color="auto" w:sz="4" w:space="0"/>
              <w:bottom w:val="single" w:color="auto" w:sz="4" w:space="0"/>
              <w:right w:val="single" w:color="auto" w:sz="4" w:space="0"/>
            </w:tcBorders>
            <w:vAlign w:val="center"/>
          </w:tcPr>
          <w:p w14:paraId="73A852FC">
            <w:pPr>
              <w:adjustRightInd w:val="0"/>
              <w:snapToGrid w:val="0"/>
              <w:spacing w:line="360" w:lineRule="exact"/>
              <w:rPr>
                <w:rFonts w:hint="eastAsia" w:ascii="宋体" w:hAnsi="宋体" w:eastAsia="宋体" w:cs="宋体"/>
                <w:b/>
                <w:bCs/>
                <w:szCs w:val="21"/>
              </w:rPr>
            </w:pPr>
            <w:r>
              <w:rPr>
                <w:rFonts w:hint="eastAsia" w:ascii="宋体" w:hAnsi="宋体" w:eastAsia="宋体" w:cs="宋体"/>
                <w:kern w:val="0"/>
                <w:szCs w:val="21"/>
                <w:highlight w:val="yellow"/>
                <w:lang w:eastAsia="zh-CN"/>
              </w:rPr>
              <w:t>谈判</w:t>
            </w:r>
            <w:r>
              <w:rPr>
                <w:rFonts w:hint="eastAsia" w:ascii="宋体" w:hAnsi="宋体" w:eastAsia="宋体" w:cs="宋体"/>
                <w:kern w:val="0"/>
                <w:szCs w:val="21"/>
                <w:highlight w:val="yellow"/>
              </w:rPr>
              <w:t>总价最高限价：</w:t>
            </w:r>
            <w:r>
              <w:rPr>
                <w:rFonts w:hint="eastAsia" w:ascii="宋体" w:hAnsi="宋体" w:cs="宋体"/>
                <w:bCs/>
                <w:color w:val="4F81BD"/>
                <w:kern w:val="0"/>
                <w:szCs w:val="21"/>
                <w:highlight w:val="yellow"/>
                <w:lang w:val="en-US" w:eastAsia="zh-CN"/>
              </w:rPr>
              <w:t>180</w:t>
            </w:r>
            <w:r>
              <w:rPr>
                <w:rFonts w:hint="eastAsia" w:ascii="宋体" w:hAnsi="宋体" w:eastAsia="宋体" w:cs="宋体"/>
                <w:bCs/>
                <w:color w:val="4F81BD"/>
                <w:kern w:val="0"/>
                <w:szCs w:val="21"/>
                <w:highlight w:val="yellow"/>
              </w:rPr>
              <w:t>万元（</w:t>
            </w:r>
            <w:r>
              <w:rPr>
                <w:rFonts w:hint="eastAsia" w:ascii="宋体" w:hAnsi="宋体" w:cs="宋体"/>
                <w:bCs/>
                <w:color w:val="4F81BD"/>
                <w:kern w:val="0"/>
                <w:szCs w:val="21"/>
                <w:highlight w:val="yellow"/>
                <w:lang w:val="en-US" w:eastAsia="zh-CN"/>
              </w:rPr>
              <w:t>不</w:t>
            </w:r>
            <w:r>
              <w:rPr>
                <w:rFonts w:hint="eastAsia" w:ascii="宋体" w:hAnsi="宋体" w:eastAsia="宋体" w:cs="宋体"/>
                <w:bCs/>
                <w:color w:val="4F81BD"/>
                <w:kern w:val="0"/>
                <w:szCs w:val="21"/>
                <w:highlight w:val="yellow"/>
              </w:rPr>
              <w:t>含税）</w:t>
            </w:r>
            <w:r>
              <w:rPr>
                <w:rFonts w:hint="eastAsia" w:ascii="宋体" w:hAnsi="宋体" w:eastAsia="宋体" w:cs="宋体"/>
                <w:bCs/>
                <w:kern w:val="0"/>
                <w:szCs w:val="21"/>
                <w:highlight w:val="yellow"/>
                <w:lang w:eastAsia="zh-CN"/>
              </w:rPr>
              <w:t>。</w:t>
            </w:r>
            <w:r>
              <w:rPr>
                <w:rFonts w:hint="eastAsia" w:ascii="宋体" w:hAnsi="宋体" w:eastAsia="宋体" w:cs="宋体"/>
                <w:kern w:val="0"/>
                <w:szCs w:val="21"/>
              </w:rPr>
              <w:t>供应商的</w:t>
            </w:r>
            <w:r>
              <w:rPr>
                <w:rFonts w:hint="eastAsia" w:ascii="宋体" w:hAnsi="宋体" w:eastAsia="宋体" w:cs="宋体"/>
                <w:kern w:val="0"/>
                <w:szCs w:val="21"/>
                <w:lang w:eastAsia="zh-CN"/>
              </w:rPr>
              <w:t>谈判</w:t>
            </w:r>
            <w:r>
              <w:rPr>
                <w:rFonts w:hint="eastAsia" w:ascii="宋体" w:hAnsi="宋体" w:eastAsia="宋体" w:cs="宋体"/>
                <w:kern w:val="0"/>
                <w:szCs w:val="21"/>
              </w:rPr>
              <w:t>报价不得超过限价，否则作否决</w:t>
            </w:r>
            <w:r>
              <w:rPr>
                <w:rFonts w:hint="eastAsia" w:ascii="宋体" w:hAnsi="宋体" w:eastAsia="宋体" w:cs="宋体"/>
                <w:kern w:val="0"/>
                <w:szCs w:val="21"/>
                <w:lang w:eastAsia="zh-CN"/>
              </w:rPr>
              <w:t>响应文件</w:t>
            </w:r>
            <w:r>
              <w:rPr>
                <w:rFonts w:hint="eastAsia" w:ascii="宋体" w:hAnsi="宋体" w:eastAsia="宋体" w:cs="宋体"/>
                <w:kern w:val="0"/>
                <w:szCs w:val="21"/>
              </w:rPr>
              <w:t>处理。</w:t>
            </w:r>
          </w:p>
        </w:tc>
      </w:tr>
      <w:tr w14:paraId="38AD64E9">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6DF07C44">
            <w:pPr>
              <w:spacing w:line="360" w:lineRule="exact"/>
              <w:jc w:val="center"/>
              <w:rPr>
                <w:rFonts w:hint="eastAsia" w:ascii="宋体" w:hAnsi="宋体" w:eastAsia="宋体" w:cs="宋体"/>
                <w:szCs w:val="21"/>
              </w:rPr>
            </w:pPr>
            <w:r>
              <w:rPr>
                <w:rFonts w:hint="eastAsia" w:ascii="宋体" w:hAnsi="宋体" w:eastAsia="宋体" w:cs="宋体"/>
                <w:szCs w:val="21"/>
              </w:rPr>
              <w:t>3.3.1</w:t>
            </w:r>
          </w:p>
        </w:tc>
        <w:tc>
          <w:tcPr>
            <w:tcW w:w="2583" w:type="dxa"/>
            <w:tcBorders>
              <w:top w:val="single" w:color="auto" w:sz="4" w:space="0"/>
              <w:left w:val="single" w:color="auto" w:sz="4" w:space="0"/>
              <w:bottom w:val="single" w:color="auto" w:sz="4" w:space="0"/>
              <w:right w:val="single" w:color="auto" w:sz="4" w:space="0"/>
            </w:tcBorders>
            <w:vAlign w:val="center"/>
          </w:tcPr>
          <w:p w14:paraId="3D2C8412">
            <w:pPr>
              <w:spacing w:line="360" w:lineRule="exact"/>
              <w:jc w:val="center"/>
              <w:rPr>
                <w:rFonts w:hint="eastAsia" w:ascii="宋体" w:hAnsi="宋体" w:eastAsia="宋体" w:cs="宋体"/>
                <w:szCs w:val="21"/>
              </w:rPr>
            </w:pPr>
            <w:r>
              <w:rPr>
                <w:rFonts w:hint="eastAsia" w:ascii="宋体" w:hAnsi="宋体" w:eastAsia="宋体" w:cs="宋体"/>
                <w:szCs w:val="21"/>
                <w:lang w:eastAsia="zh-CN"/>
              </w:rPr>
              <w:t>谈判</w:t>
            </w:r>
            <w:r>
              <w:rPr>
                <w:rFonts w:hint="eastAsia" w:ascii="宋体" w:hAnsi="宋体" w:eastAsia="宋体" w:cs="宋体"/>
                <w:szCs w:val="21"/>
              </w:rPr>
              <w:t>有效期</w:t>
            </w:r>
          </w:p>
        </w:tc>
        <w:tc>
          <w:tcPr>
            <w:tcW w:w="5817" w:type="dxa"/>
            <w:tcBorders>
              <w:top w:val="single" w:color="auto" w:sz="4" w:space="0"/>
              <w:left w:val="single" w:color="auto" w:sz="4" w:space="0"/>
              <w:bottom w:val="single" w:color="auto" w:sz="4" w:space="0"/>
              <w:right w:val="single" w:color="auto" w:sz="4" w:space="0"/>
            </w:tcBorders>
            <w:vAlign w:val="center"/>
          </w:tcPr>
          <w:p w14:paraId="1CFFA730">
            <w:pPr>
              <w:spacing w:line="360" w:lineRule="exact"/>
              <w:rPr>
                <w:rFonts w:hint="eastAsia" w:ascii="宋体" w:hAnsi="宋体" w:eastAsia="宋体" w:cs="宋体"/>
                <w:szCs w:val="21"/>
              </w:rPr>
            </w:pPr>
            <w:bookmarkStart w:id="74" w:name="_Toc369531512"/>
            <w:bookmarkStart w:id="75" w:name="_Toc361508582"/>
            <w:bookmarkStart w:id="76" w:name="_Toc352691470"/>
            <w:bookmarkStart w:id="77" w:name="_Toc300834946"/>
            <w:bookmarkStart w:id="78" w:name="_Toc384308207"/>
            <w:bookmarkStart w:id="79" w:name="_Toc1789"/>
            <w:r>
              <w:rPr>
                <w:rFonts w:hint="eastAsia" w:ascii="宋体" w:hAnsi="宋体" w:eastAsia="宋体" w:cs="宋体"/>
                <w:szCs w:val="21"/>
              </w:rPr>
              <w:t>90日历天（从递交</w:t>
            </w:r>
            <w:r>
              <w:rPr>
                <w:rFonts w:hint="eastAsia" w:ascii="宋体" w:hAnsi="宋体" w:eastAsia="宋体" w:cs="宋体"/>
                <w:szCs w:val="21"/>
                <w:lang w:eastAsia="zh-CN"/>
              </w:rPr>
              <w:t>响应文件</w:t>
            </w:r>
            <w:r>
              <w:rPr>
                <w:rFonts w:hint="eastAsia" w:ascii="宋体" w:hAnsi="宋体" w:eastAsia="宋体" w:cs="宋体"/>
                <w:szCs w:val="21"/>
              </w:rPr>
              <w:t>截止日起计算）</w:t>
            </w:r>
          </w:p>
        </w:tc>
      </w:tr>
      <w:bookmarkEnd w:id="74"/>
      <w:bookmarkEnd w:id="75"/>
      <w:bookmarkEnd w:id="76"/>
      <w:bookmarkEnd w:id="77"/>
      <w:bookmarkEnd w:id="78"/>
      <w:bookmarkEnd w:id="79"/>
      <w:tr w14:paraId="0EB27A42">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FDFFC56">
            <w:pPr>
              <w:spacing w:line="360" w:lineRule="exact"/>
              <w:jc w:val="center"/>
              <w:rPr>
                <w:rFonts w:hint="eastAsia" w:ascii="宋体" w:hAnsi="宋体" w:eastAsia="宋体" w:cs="宋体"/>
                <w:szCs w:val="21"/>
              </w:rPr>
            </w:pPr>
            <w:r>
              <w:rPr>
                <w:rFonts w:hint="eastAsia" w:ascii="宋体" w:hAnsi="宋体" w:eastAsia="宋体" w:cs="宋体"/>
                <w:szCs w:val="21"/>
              </w:rPr>
              <w:t>3.4.1</w:t>
            </w:r>
          </w:p>
        </w:tc>
        <w:tc>
          <w:tcPr>
            <w:tcW w:w="2583" w:type="dxa"/>
            <w:tcBorders>
              <w:top w:val="single" w:color="auto" w:sz="4" w:space="0"/>
              <w:left w:val="single" w:color="auto" w:sz="4" w:space="0"/>
              <w:bottom w:val="single" w:color="auto" w:sz="4" w:space="0"/>
              <w:right w:val="single" w:color="auto" w:sz="4" w:space="0"/>
            </w:tcBorders>
            <w:vAlign w:val="center"/>
          </w:tcPr>
          <w:p w14:paraId="1EE90965">
            <w:pPr>
              <w:spacing w:line="360" w:lineRule="exact"/>
              <w:jc w:val="center"/>
              <w:rPr>
                <w:rFonts w:hint="eastAsia" w:ascii="宋体" w:hAnsi="宋体" w:eastAsia="宋体" w:cs="宋体"/>
                <w:szCs w:val="21"/>
              </w:rPr>
            </w:pPr>
            <w:r>
              <w:rPr>
                <w:rFonts w:hint="eastAsia" w:ascii="宋体" w:hAnsi="宋体" w:eastAsia="宋体" w:cs="宋体"/>
                <w:szCs w:val="21"/>
                <w:lang w:eastAsia="zh-CN"/>
              </w:rPr>
              <w:t>谈判</w:t>
            </w:r>
            <w:r>
              <w:rPr>
                <w:rFonts w:hint="eastAsia" w:ascii="宋体" w:hAnsi="宋体" w:eastAsia="宋体" w:cs="宋体"/>
                <w:szCs w:val="21"/>
              </w:rPr>
              <w:t>保证金</w:t>
            </w:r>
          </w:p>
        </w:tc>
        <w:tc>
          <w:tcPr>
            <w:tcW w:w="5817" w:type="dxa"/>
            <w:tcBorders>
              <w:top w:val="single" w:color="auto" w:sz="4" w:space="0"/>
              <w:left w:val="single" w:color="auto" w:sz="4" w:space="0"/>
              <w:bottom w:val="single" w:color="auto" w:sz="4" w:space="0"/>
              <w:right w:val="single" w:color="auto" w:sz="4" w:space="0"/>
            </w:tcBorders>
            <w:vAlign w:val="center"/>
          </w:tcPr>
          <w:p w14:paraId="21E1A66C">
            <w:pPr>
              <w:snapToGrid w:val="0"/>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本次采购不缴纳谈判保证金</w:t>
            </w:r>
          </w:p>
        </w:tc>
      </w:tr>
      <w:tr w14:paraId="78817064">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D681DFC">
            <w:pPr>
              <w:spacing w:line="360" w:lineRule="exact"/>
              <w:jc w:val="center"/>
              <w:rPr>
                <w:rFonts w:hint="eastAsia" w:ascii="宋体" w:hAnsi="宋体" w:eastAsia="宋体" w:cs="宋体"/>
                <w:szCs w:val="21"/>
              </w:rPr>
            </w:pPr>
            <w:r>
              <w:rPr>
                <w:rFonts w:hint="eastAsia" w:ascii="宋体" w:hAnsi="宋体" w:eastAsia="宋体" w:cs="宋体"/>
                <w:szCs w:val="21"/>
              </w:rPr>
              <w:t>3.5</w:t>
            </w:r>
          </w:p>
        </w:tc>
        <w:tc>
          <w:tcPr>
            <w:tcW w:w="2583" w:type="dxa"/>
            <w:tcBorders>
              <w:top w:val="single" w:color="auto" w:sz="4" w:space="0"/>
              <w:left w:val="single" w:color="auto" w:sz="4" w:space="0"/>
              <w:bottom w:val="single" w:color="auto" w:sz="4" w:space="0"/>
              <w:right w:val="single" w:color="auto" w:sz="4" w:space="0"/>
            </w:tcBorders>
            <w:vAlign w:val="center"/>
          </w:tcPr>
          <w:p w14:paraId="30A1E4D4">
            <w:pPr>
              <w:spacing w:line="360" w:lineRule="exact"/>
              <w:jc w:val="center"/>
              <w:rPr>
                <w:rFonts w:hint="eastAsia" w:ascii="宋体" w:hAnsi="宋体" w:eastAsia="宋体" w:cs="宋体"/>
                <w:szCs w:val="21"/>
              </w:rPr>
            </w:pPr>
            <w:r>
              <w:rPr>
                <w:rFonts w:hint="eastAsia" w:ascii="宋体" w:hAnsi="宋体" w:eastAsia="宋体" w:cs="宋体"/>
                <w:szCs w:val="21"/>
              </w:rPr>
              <w:t>资格审查资料的特殊要求</w:t>
            </w:r>
          </w:p>
        </w:tc>
        <w:tc>
          <w:tcPr>
            <w:tcW w:w="5817" w:type="dxa"/>
            <w:tcBorders>
              <w:top w:val="single" w:color="auto" w:sz="4" w:space="0"/>
              <w:left w:val="single" w:color="auto" w:sz="4" w:space="0"/>
              <w:bottom w:val="single" w:color="auto" w:sz="4" w:space="0"/>
              <w:right w:val="single" w:color="auto" w:sz="4" w:space="0"/>
            </w:tcBorders>
            <w:vAlign w:val="center"/>
          </w:tcPr>
          <w:p w14:paraId="742FF543">
            <w:pPr>
              <w:snapToGrid w:val="0"/>
              <w:spacing w:line="360" w:lineRule="exact"/>
              <w:rPr>
                <w:rFonts w:hint="eastAsia" w:ascii="宋体" w:hAnsi="宋体" w:eastAsia="宋体" w:cs="宋体"/>
                <w:szCs w:val="21"/>
              </w:rPr>
            </w:pPr>
            <w:r>
              <w:rPr>
                <w:rFonts w:hint="eastAsia" w:ascii="宋体" w:hAnsi="宋体" w:eastAsia="宋体" w:cs="宋体"/>
                <w:szCs w:val="21"/>
              </w:rPr>
              <w:t>/</w:t>
            </w:r>
          </w:p>
        </w:tc>
      </w:tr>
      <w:tr w14:paraId="52BBB573">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C317D92">
            <w:pPr>
              <w:spacing w:line="360" w:lineRule="exact"/>
              <w:jc w:val="center"/>
              <w:rPr>
                <w:rFonts w:hint="eastAsia" w:ascii="宋体" w:hAnsi="宋体" w:eastAsia="宋体" w:cs="宋体"/>
                <w:szCs w:val="21"/>
              </w:rPr>
            </w:pPr>
            <w:r>
              <w:rPr>
                <w:rFonts w:hint="eastAsia" w:ascii="宋体" w:hAnsi="宋体" w:eastAsia="宋体" w:cs="宋体"/>
                <w:szCs w:val="21"/>
              </w:rPr>
              <w:t>3.6.1</w:t>
            </w:r>
          </w:p>
        </w:tc>
        <w:tc>
          <w:tcPr>
            <w:tcW w:w="2583" w:type="dxa"/>
            <w:tcBorders>
              <w:top w:val="single" w:color="auto" w:sz="4" w:space="0"/>
              <w:left w:val="single" w:color="auto" w:sz="4" w:space="0"/>
              <w:bottom w:val="single" w:color="auto" w:sz="4" w:space="0"/>
              <w:right w:val="single" w:color="auto" w:sz="4" w:space="0"/>
            </w:tcBorders>
            <w:vAlign w:val="center"/>
          </w:tcPr>
          <w:p w14:paraId="6554A305">
            <w:pPr>
              <w:spacing w:line="360" w:lineRule="exact"/>
              <w:jc w:val="center"/>
              <w:rPr>
                <w:rFonts w:hint="eastAsia" w:ascii="宋体" w:hAnsi="宋体" w:eastAsia="宋体" w:cs="宋体"/>
                <w:szCs w:val="21"/>
              </w:rPr>
            </w:pPr>
            <w:r>
              <w:rPr>
                <w:rFonts w:hint="eastAsia" w:ascii="宋体" w:hAnsi="宋体" w:eastAsia="宋体" w:cs="宋体"/>
                <w:szCs w:val="21"/>
              </w:rPr>
              <w:t>是否允许递交备选方案</w:t>
            </w:r>
          </w:p>
        </w:tc>
        <w:tc>
          <w:tcPr>
            <w:tcW w:w="5817" w:type="dxa"/>
            <w:tcBorders>
              <w:top w:val="single" w:color="auto" w:sz="4" w:space="0"/>
              <w:left w:val="single" w:color="auto" w:sz="4" w:space="0"/>
              <w:bottom w:val="single" w:color="auto" w:sz="4" w:space="0"/>
              <w:right w:val="single" w:color="auto" w:sz="4" w:space="0"/>
            </w:tcBorders>
            <w:vAlign w:val="center"/>
          </w:tcPr>
          <w:p w14:paraId="20E00B86">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rPr>
              <w:t>☑不允许</w:t>
            </w:r>
          </w:p>
          <w:p w14:paraId="0CC2565E">
            <w:pPr>
              <w:spacing w:line="360" w:lineRule="exact"/>
              <w:rPr>
                <w:rFonts w:hint="eastAsia" w:ascii="宋体" w:hAnsi="宋体" w:eastAsia="宋体" w:cs="宋体"/>
                <w:szCs w:val="21"/>
              </w:rPr>
            </w:pPr>
            <w:r>
              <w:rPr>
                <w:rFonts w:hint="eastAsia" w:ascii="宋体" w:hAnsi="宋体" w:eastAsia="宋体" w:cs="宋体"/>
                <w:szCs w:val="21"/>
              </w:rPr>
              <w:t>□允许</w:t>
            </w:r>
          </w:p>
        </w:tc>
      </w:tr>
      <w:tr w14:paraId="1F468054">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19A072FF">
            <w:pPr>
              <w:spacing w:line="360" w:lineRule="exact"/>
              <w:jc w:val="center"/>
              <w:rPr>
                <w:rFonts w:hint="eastAsia" w:ascii="宋体" w:hAnsi="宋体" w:eastAsia="宋体" w:cs="宋体"/>
                <w:szCs w:val="21"/>
              </w:rPr>
            </w:pPr>
            <w:r>
              <w:rPr>
                <w:rFonts w:hint="eastAsia" w:ascii="宋体" w:hAnsi="宋体" w:eastAsia="宋体" w:cs="宋体"/>
                <w:szCs w:val="21"/>
              </w:rPr>
              <w:t>3.7.3（1）</w:t>
            </w:r>
          </w:p>
        </w:tc>
        <w:tc>
          <w:tcPr>
            <w:tcW w:w="2583" w:type="dxa"/>
            <w:tcBorders>
              <w:top w:val="single" w:color="auto" w:sz="4" w:space="0"/>
              <w:left w:val="single" w:color="auto" w:sz="4" w:space="0"/>
              <w:bottom w:val="single" w:color="auto" w:sz="4" w:space="0"/>
              <w:right w:val="single" w:color="auto" w:sz="4" w:space="0"/>
            </w:tcBorders>
            <w:vAlign w:val="center"/>
          </w:tcPr>
          <w:p w14:paraId="30EFA9F5">
            <w:pPr>
              <w:spacing w:line="360" w:lineRule="exact"/>
              <w:jc w:val="center"/>
              <w:rPr>
                <w:rFonts w:hint="eastAsia" w:ascii="宋体" w:hAnsi="宋体" w:eastAsia="宋体" w:cs="宋体"/>
                <w:szCs w:val="21"/>
              </w:rPr>
            </w:pPr>
            <w:r>
              <w:rPr>
                <w:rFonts w:hint="eastAsia" w:ascii="宋体" w:hAnsi="宋体" w:eastAsia="宋体" w:cs="宋体"/>
                <w:szCs w:val="21"/>
                <w:lang w:eastAsia="zh-CN"/>
              </w:rPr>
              <w:t>响应文件</w:t>
            </w:r>
            <w:r>
              <w:rPr>
                <w:rFonts w:hint="eastAsia" w:ascii="宋体" w:hAnsi="宋体" w:eastAsia="宋体" w:cs="宋体"/>
                <w:szCs w:val="21"/>
              </w:rPr>
              <w:t>签字或盖章要求</w:t>
            </w:r>
          </w:p>
        </w:tc>
        <w:tc>
          <w:tcPr>
            <w:tcW w:w="5817" w:type="dxa"/>
            <w:tcBorders>
              <w:top w:val="single" w:color="auto" w:sz="4" w:space="0"/>
              <w:left w:val="single" w:color="auto" w:sz="4" w:space="0"/>
              <w:bottom w:val="single" w:color="auto" w:sz="4" w:space="0"/>
              <w:right w:val="single" w:color="auto" w:sz="4" w:space="0"/>
            </w:tcBorders>
            <w:vAlign w:val="center"/>
          </w:tcPr>
          <w:p w14:paraId="6DA92E7B">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lang w:eastAsia="zh-CN"/>
              </w:rPr>
              <w:t>响应文件</w:t>
            </w:r>
            <w:r>
              <w:rPr>
                <w:rFonts w:hint="eastAsia" w:ascii="宋体" w:hAnsi="宋体" w:eastAsia="宋体" w:cs="宋体"/>
                <w:sz w:val="21"/>
                <w:szCs w:val="21"/>
              </w:rPr>
              <w:t>正本按照</w:t>
            </w:r>
            <w:r>
              <w:rPr>
                <w:rFonts w:hint="eastAsia" w:ascii="宋体" w:hAnsi="宋体" w:eastAsia="宋体" w:cs="宋体"/>
                <w:sz w:val="21"/>
                <w:szCs w:val="21"/>
                <w:lang w:eastAsia="zh-CN"/>
              </w:rPr>
              <w:t>响应文件</w:t>
            </w:r>
            <w:r>
              <w:rPr>
                <w:rFonts w:hint="eastAsia" w:ascii="宋体" w:hAnsi="宋体" w:eastAsia="宋体" w:cs="宋体"/>
                <w:sz w:val="21"/>
                <w:szCs w:val="21"/>
              </w:rPr>
              <w:t>要求，在需要签字、盖章的地方签字、加盖鲜章，否则交由评审小组否决其</w:t>
            </w:r>
            <w:r>
              <w:rPr>
                <w:rFonts w:hint="eastAsia" w:ascii="宋体" w:hAnsi="宋体" w:eastAsia="宋体" w:cs="宋体"/>
                <w:sz w:val="21"/>
                <w:szCs w:val="21"/>
                <w:lang w:eastAsia="zh-CN"/>
              </w:rPr>
              <w:t>响应文件</w:t>
            </w:r>
            <w:r>
              <w:rPr>
                <w:rFonts w:hint="eastAsia" w:ascii="宋体" w:hAnsi="宋体" w:eastAsia="宋体" w:cs="宋体"/>
                <w:sz w:val="21"/>
                <w:szCs w:val="21"/>
              </w:rPr>
              <w:t>。</w:t>
            </w:r>
            <w:r>
              <w:rPr>
                <w:rFonts w:hint="eastAsia" w:ascii="宋体" w:hAnsi="宋体" w:eastAsia="宋体" w:cs="宋体"/>
                <w:sz w:val="21"/>
                <w:szCs w:val="21"/>
                <w:lang w:eastAsia="zh-CN"/>
              </w:rPr>
              <w:t>响应文件</w:t>
            </w:r>
            <w:r>
              <w:rPr>
                <w:rFonts w:hint="eastAsia" w:ascii="宋体" w:hAnsi="宋体" w:eastAsia="宋体" w:cs="宋体"/>
                <w:sz w:val="21"/>
                <w:szCs w:val="21"/>
              </w:rPr>
              <w:t>副本可为正本复印件。</w:t>
            </w:r>
          </w:p>
        </w:tc>
      </w:tr>
      <w:tr w14:paraId="0E1E1941">
        <w:tblPrEx>
          <w:tblCellMar>
            <w:top w:w="0" w:type="dxa"/>
            <w:left w:w="108" w:type="dxa"/>
            <w:bottom w:w="0" w:type="dxa"/>
            <w:right w:w="108" w:type="dxa"/>
          </w:tblCellMar>
        </w:tblPrEx>
        <w:trPr>
          <w:trHeight w:val="997" w:hRule="atLeast"/>
        </w:trPr>
        <w:tc>
          <w:tcPr>
            <w:tcW w:w="1200" w:type="dxa"/>
            <w:tcBorders>
              <w:top w:val="single" w:color="auto" w:sz="4" w:space="0"/>
              <w:left w:val="single" w:color="auto" w:sz="4" w:space="0"/>
              <w:bottom w:val="single" w:color="auto" w:sz="4" w:space="0"/>
              <w:right w:val="single" w:color="auto" w:sz="4" w:space="0"/>
            </w:tcBorders>
            <w:vAlign w:val="center"/>
          </w:tcPr>
          <w:p w14:paraId="431A1F5B">
            <w:pPr>
              <w:spacing w:line="360" w:lineRule="exact"/>
              <w:jc w:val="center"/>
              <w:rPr>
                <w:rFonts w:hint="eastAsia" w:ascii="宋体" w:hAnsi="宋体" w:eastAsia="宋体" w:cs="宋体"/>
                <w:szCs w:val="21"/>
              </w:rPr>
            </w:pPr>
            <w:r>
              <w:rPr>
                <w:rFonts w:hint="eastAsia" w:ascii="宋体" w:hAnsi="宋体" w:eastAsia="宋体" w:cs="宋体"/>
                <w:szCs w:val="21"/>
              </w:rPr>
              <w:t>3.7.3（2）</w:t>
            </w:r>
          </w:p>
        </w:tc>
        <w:tc>
          <w:tcPr>
            <w:tcW w:w="2583" w:type="dxa"/>
            <w:tcBorders>
              <w:top w:val="single" w:color="auto" w:sz="4" w:space="0"/>
              <w:left w:val="single" w:color="auto" w:sz="4" w:space="0"/>
              <w:bottom w:val="single" w:color="auto" w:sz="4" w:space="0"/>
              <w:right w:val="single" w:color="auto" w:sz="4" w:space="0"/>
            </w:tcBorders>
            <w:vAlign w:val="center"/>
          </w:tcPr>
          <w:p w14:paraId="075D4247">
            <w:pPr>
              <w:spacing w:line="360" w:lineRule="exact"/>
              <w:jc w:val="center"/>
              <w:rPr>
                <w:rFonts w:hint="eastAsia" w:ascii="宋体" w:hAnsi="宋体" w:eastAsia="宋体" w:cs="宋体"/>
                <w:szCs w:val="21"/>
              </w:rPr>
            </w:pPr>
            <w:r>
              <w:rPr>
                <w:rFonts w:hint="eastAsia" w:ascii="宋体" w:hAnsi="宋体" w:eastAsia="宋体" w:cs="宋体"/>
                <w:szCs w:val="21"/>
                <w:lang w:eastAsia="zh-CN"/>
              </w:rPr>
              <w:t>响应文件</w:t>
            </w:r>
            <w:r>
              <w:rPr>
                <w:rFonts w:hint="eastAsia" w:ascii="宋体" w:hAnsi="宋体" w:eastAsia="宋体" w:cs="宋体"/>
                <w:szCs w:val="21"/>
              </w:rPr>
              <w:t>副本份数及其他要求</w:t>
            </w:r>
          </w:p>
        </w:tc>
        <w:tc>
          <w:tcPr>
            <w:tcW w:w="5817" w:type="dxa"/>
            <w:tcBorders>
              <w:top w:val="single" w:color="auto" w:sz="4" w:space="0"/>
              <w:left w:val="single" w:color="auto" w:sz="4" w:space="0"/>
              <w:bottom w:val="single" w:color="auto" w:sz="4" w:space="0"/>
              <w:right w:val="single" w:color="auto" w:sz="4" w:space="0"/>
            </w:tcBorders>
            <w:vAlign w:val="center"/>
          </w:tcPr>
          <w:p w14:paraId="38BE0CC0">
            <w:pPr>
              <w:spacing w:line="360" w:lineRule="exact"/>
              <w:rPr>
                <w:rFonts w:hint="eastAsia" w:ascii="宋体" w:hAnsi="宋体" w:eastAsia="宋体" w:cs="宋体"/>
                <w:szCs w:val="21"/>
              </w:rPr>
            </w:pPr>
            <w:r>
              <w:rPr>
                <w:rFonts w:hint="eastAsia" w:ascii="宋体" w:hAnsi="宋体" w:eastAsia="宋体" w:cs="宋体"/>
                <w:bCs/>
                <w:szCs w:val="21"/>
                <w:lang w:eastAsia="zh-CN"/>
              </w:rPr>
              <w:t>响应文件</w:t>
            </w:r>
            <w:r>
              <w:rPr>
                <w:rFonts w:hint="eastAsia" w:ascii="宋体" w:hAnsi="宋体" w:eastAsia="宋体" w:cs="宋体"/>
                <w:bCs/>
                <w:szCs w:val="21"/>
              </w:rPr>
              <w:t>共二份，必须用A4幅面纸打印，其中“正本”一份，“副本”一份，如正副本内容不符，以“正本”为准，副本可为正本的复印件。</w:t>
            </w:r>
            <w:r>
              <w:rPr>
                <w:rFonts w:hint="eastAsia" w:ascii="宋体" w:hAnsi="宋体" w:eastAsia="宋体" w:cs="宋体"/>
                <w:b/>
                <w:szCs w:val="21"/>
              </w:rPr>
              <w:t>同时提供“可编辑模式”的</w:t>
            </w:r>
            <w:r>
              <w:rPr>
                <w:rFonts w:hint="eastAsia" w:ascii="宋体" w:hAnsi="宋体" w:eastAsia="宋体" w:cs="宋体"/>
                <w:b/>
                <w:szCs w:val="21"/>
                <w:lang w:eastAsia="zh-CN"/>
              </w:rPr>
              <w:t>响应文件</w:t>
            </w:r>
            <w:r>
              <w:rPr>
                <w:rFonts w:hint="eastAsia" w:ascii="宋体" w:hAnsi="宋体" w:eastAsia="宋体" w:cs="宋体"/>
                <w:b/>
                <w:szCs w:val="21"/>
              </w:rPr>
              <w:t>电子版本（U盘）一份（与纸质版</w:t>
            </w:r>
            <w:r>
              <w:rPr>
                <w:rFonts w:hint="eastAsia" w:ascii="宋体" w:hAnsi="宋体" w:eastAsia="宋体" w:cs="宋体"/>
                <w:b/>
                <w:szCs w:val="21"/>
                <w:lang w:eastAsia="zh-CN"/>
              </w:rPr>
              <w:t>响应文件</w:t>
            </w:r>
            <w:r>
              <w:rPr>
                <w:rFonts w:hint="eastAsia" w:ascii="宋体" w:hAnsi="宋体" w:eastAsia="宋体" w:cs="宋体"/>
                <w:b/>
                <w:szCs w:val="21"/>
              </w:rPr>
              <w:t>分开密封）。</w:t>
            </w:r>
          </w:p>
        </w:tc>
      </w:tr>
      <w:tr w14:paraId="772478A9">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5DF328A4">
            <w:pPr>
              <w:spacing w:line="360" w:lineRule="exact"/>
              <w:jc w:val="center"/>
              <w:rPr>
                <w:rFonts w:hint="eastAsia" w:ascii="宋体" w:hAnsi="宋体" w:eastAsia="宋体" w:cs="宋体"/>
                <w:szCs w:val="21"/>
              </w:rPr>
            </w:pPr>
            <w:r>
              <w:rPr>
                <w:rFonts w:hint="eastAsia" w:ascii="宋体" w:hAnsi="宋体" w:eastAsia="宋体" w:cs="宋体"/>
                <w:szCs w:val="21"/>
              </w:rPr>
              <w:t>4.1.2</w:t>
            </w:r>
          </w:p>
        </w:tc>
        <w:tc>
          <w:tcPr>
            <w:tcW w:w="2583" w:type="dxa"/>
            <w:tcBorders>
              <w:top w:val="single" w:color="auto" w:sz="4" w:space="0"/>
              <w:left w:val="single" w:color="auto" w:sz="4" w:space="0"/>
              <w:bottom w:val="single" w:color="auto" w:sz="4" w:space="0"/>
              <w:right w:val="single" w:color="auto" w:sz="4" w:space="0"/>
            </w:tcBorders>
            <w:vAlign w:val="center"/>
          </w:tcPr>
          <w:p w14:paraId="33445336">
            <w:pPr>
              <w:spacing w:line="360" w:lineRule="exact"/>
              <w:jc w:val="center"/>
              <w:rPr>
                <w:rFonts w:hint="eastAsia" w:ascii="宋体" w:hAnsi="宋体" w:eastAsia="宋体" w:cs="宋体"/>
                <w:szCs w:val="21"/>
                <w:shd w:val="clear" w:color="FFFFFF" w:fill="D9D9D9"/>
              </w:rPr>
            </w:pPr>
            <w:r>
              <w:rPr>
                <w:rFonts w:hint="eastAsia" w:ascii="宋体" w:hAnsi="宋体" w:eastAsia="宋体" w:cs="宋体"/>
                <w:szCs w:val="21"/>
              </w:rPr>
              <w:t>封套上应载明的信息</w:t>
            </w:r>
          </w:p>
        </w:tc>
        <w:tc>
          <w:tcPr>
            <w:tcW w:w="5817" w:type="dxa"/>
            <w:tcBorders>
              <w:top w:val="single" w:color="auto" w:sz="4" w:space="0"/>
              <w:left w:val="single" w:color="auto" w:sz="4" w:space="0"/>
              <w:bottom w:val="single" w:color="auto" w:sz="4" w:space="0"/>
              <w:right w:val="single" w:color="auto" w:sz="4" w:space="0"/>
            </w:tcBorders>
            <w:vAlign w:val="center"/>
          </w:tcPr>
          <w:p w14:paraId="5A7EE21B">
            <w:pPr>
              <w:spacing w:line="360" w:lineRule="exact"/>
              <w:ind w:left="105" w:leftChars="50"/>
              <w:rPr>
                <w:rFonts w:hint="eastAsia" w:ascii="宋体" w:hAnsi="宋体" w:eastAsia="宋体" w:cs="宋体"/>
                <w:szCs w:val="21"/>
              </w:rPr>
            </w:pPr>
            <w:r>
              <w:rPr>
                <w:rFonts w:hint="eastAsia" w:ascii="宋体" w:hAnsi="宋体" w:eastAsia="宋体" w:cs="宋体"/>
                <w:szCs w:val="21"/>
              </w:rPr>
              <w:t>采购人名称：</w:t>
            </w:r>
            <w:r>
              <w:rPr>
                <w:rFonts w:hint="eastAsia" w:ascii="宋体" w:hAnsi="宋体" w:eastAsia="宋体" w:cs="宋体"/>
                <w:szCs w:val="21"/>
                <w:u w:val="single"/>
              </w:rPr>
              <w:t xml:space="preserve">                </w:t>
            </w:r>
          </w:p>
          <w:p w14:paraId="231AA003">
            <w:pPr>
              <w:spacing w:line="360" w:lineRule="exact"/>
              <w:ind w:left="105" w:leftChars="50"/>
              <w:rPr>
                <w:rFonts w:hint="eastAsia" w:ascii="宋体" w:hAnsi="宋体" w:eastAsia="宋体" w:cs="宋体"/>
                <w:szCs w:val="21"/>
              </w:rPr>
            </w:pPr>
            <w:r>
              <w:rPr>
                <w:rFonts w:hint="eastAsia" w:ascii="宋体" w:hAnsi="宋体" w:eastAsia="宋体" w:cs="宋体"/>
                <w:szCs w:val="21"/>
              </w:rPr>
              <w:t>采购人地址：</w:t>
            </w:r>
            <w:r>
              <w:rPr>
                <w:rFonts w:hint="eastAsia" w:ascii="宋体" w:hAnsi="宋体" w:eastAsia="宋体" w:cs="宋体"/>
                <w:szCs w:val="21"/>
                <w:u w:val="single"/>
              </w:rPr>
              <w:t xml:space="preserve">                </w:t>
            </w:r>
          </w:p>
          <w:p w14:paraId="10D7398C">
            <w:pPr>
              <w:spacing w:line="360" w:lineRule="exact"/>
              <w:ind w:left="105" w:leftChars="50"/>
              <w:rPr>
                <w:rFonts w:hint="eastAsia" w:ascii="宋体" w:hAnsi="宋体" w:eastAsia="宋体" w:cs="宋体"/>
                <w:szCs w:val="21"/>
              </w:rPr>
            </w:pPr>
            <w:r>
              <w:rPr>
                <w:rFonts w:hint="eastAsia" w:ascii="宋体" w:hAnsi="宋体" w:eastAsia="宋体" w:cs="宋体"/>
                <w:szCs w:val="21"/>
              </w:rPr>
              <w:t>供应商名称：</w:t>
            </w:r>
            <w:r>
              <w:rPr>
                <w:rFonts w:hint="eastAsia" w:ascii="宋体" w:hAnsi="宋体" w:eastAsia="宋体" w:cs="宋体"/>
                <w:szCs w:val="21"/>
                <w:u w:val="single"/>
              </w:rPr>
              <w:t xml:space="preserve">               （供应商盖章）</w:t>
            </w:r>
          </w:p>
          <w:p w14:paraId="2C462900">
            <w:pPr>
              <w:spacing w:line="360" w:lineRule="exact"/>
              <w:ind w:left="105" w:leftChars="50"/>
              <w:rPr>
                <w:rFonts w:hint="eastAsia" w:ascii="宋体" w:hAnsi="宋体" w:eastAsia="宋体" w:cs="宋体"/>
                <w:szCs w:val="21"/>
              </w:rPr>
            </w:pPr>
            <w:r>
              <w:rPr>
                <w:rFonts w:hint="eastAsia" w:ascii="宋体" w:hAnsi="宋体" w:eastAsia="宋体" w:cs="宋体"/>
                <w:szCs w:val="21"/>
                <w:u w:val="single"/>
              </w:rPr>
              <w:t xml:space="preserve">           （项目名称）         </w:t>
            </w:r>
            <w:r>
              <w:rPr>
                <w:rFonts w:hint="eastAsia" w:ascii="宋体" w:hAnsi="宋体" w:eastAsia="宋体" w:cs="宋体"/>
                <w:szCs w:val="21"/>
                <w:lang w:eastAsia="zh-CN"/>
              </w:rPr>
              <w:t>响应文件</w:t>
            </w:r>
            <w:r>
              <w:rPr>
                <w:rFonts w:hint="eastAsia" w:ascii="宋体" w:hAnsi="宋体" w:eastAsia="宋体" w:cs="宋体"/>
                <w:szCs w:val="21"/>
              </w:rPr>
              <w:t xml:space="preserve">                               </w:t>
            </w:r>
          </w:p>
          <w:p w14:paraId="4CC9CA87">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rPr>
              <w:t>在</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sz w:val="21"/>
                <w:szCs w:val="21"/>
                <w:u w:val="single"/>
              </w:rPr>
              <w:t xml:space="preserve">      </w:t>
            </w:r>
            <w:r>
              <w:rPr>
                <w:rFonts w:hint="eastAsia" w:ascii="宋体" w:hAnsi="宋体" w:eastAsia="宋体" w:cs="宋体"/>
                <w:sz w:val="21"/>
                <w:szCs w:val="21"/>
              </w:rPr>
              <w:t>时前不得开启</w:t>
            </w:r>
          </w:p>
        </w:tc>
      </w:tr>
      <w:tr w14:paraId="41EE43FD">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19E07499">
            <w:pPr>
              <w:spacing w:line="360" w:lineRule="exact"/>
              <w:jc w:val="center"/>
              <w:rPr>
                <w:rFonts w:hint="eastAsia" w:ascii="宋体" w:hAnsi="宋体" w:eastAsia="宋体" w:cs="宋体"/>
                <w:szCs w:val="21"/>
              </w:rPr>
            </w:pPr>
            <w:r>
              <w:rPr>
                <w:rFonts w:hint="eastAsia" w:ascii="宋体" w:hAnsi="宋体" w:eastAsia="宋体" w:cs="宋体"/>
                <w:szCs w:val="21"/>
              </w:rPr>
              <w:t>4.2.1</w:t>
            </w:r>
          </w:p>
        </w:tc>
        <w:tc>
          <w:tcPr>
            <w:tcW w:w="2583" w:type="dxa"/>
            <w:tcBorders>
              <w:top w:val="single" w:color="auto" w:sz="4" w:space="0"/>
              <w:left w:val="single" w:color="auto" w:sz="4" w:space="0"/>
              <w:bottom w:val="single" w:color="auto" w:sz="4" w:space="0"/>
              <w:right w:val="single" w:color="auto" w:sz="4" w:space="0"/>
            </w:tcBorders>
            <w:vAlign w:val="center"/>
          </w:tcPr>
          <w:p w14:paraId="6900DD1A">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响应文件递交</w:t>
            </w:r>
            <w:r>
              <w:rPr>
                <w:rFonts w:hint="eastAsia" w:ascii="宋体" w:hAnsi="宋体" w:eastAsia="宋体" w:cs="宋体"/>
                <w:szCs w:val="21"/>
              </w:rPr>
              <w:t>截止时间</w:t>
            </w:r>
          </w:p>
        </w:tc>
        <w:tc>
          <w:tcPr>
            <w:tcW w:w="5817" w:type="dxa"/>
            <w:tcBorders>
              <w:top w:val="single" w:color="auto" w:sz="4" w:space="0"/>
              <w:left w:val="single" w:color="auto" w:sz="4" w:space="0"/>
              <w:bottom w:val="single" w:color="auto" w:sz="4" w:space="0"/>
              <w:right w:val="single" w:color="auto" w:sz="4" w:space="0"/>
            </w:tcBorders>
            <w:vAlign w:val="center"/>
          </w:tcPr>
          <w:p w14:paraId="67304EEF">
            <w:pPr>
              <w:spacing w:line="360" w:lineRule="exact"/>
              <w:rPr>
                <w:rFonts w:hint="eastAsia" w:ascii="宋体" w:hAnsi="宋体" w:eastAsia="宋体" w:cs="宋体"/>
                <w:szCs w:val="21"/>
                <w:lang w:val="en-US" w:eastAsia="zh-CN"/>
              </w:rPr>
            </w:pPr>
            <w:r>
              <w:rPr>
                <w:rFonts w:hint="eastAsia" w:ascii="宋体" w:hAnsi="宋体" w:eastAsia="宋体" w:cs="宋体"/>
                <w:szCs w:val="21"/>
                <w:highlight w:val="yellow"/>
              </w:rPr>
              <w:t>202</w:t>
            </w:r>
            <w:r>
              <w:rPr>
                <w:rFonts w:hint="eastAsia" w:ascii="宋体" w:hAnsi="宋体" w:cs="宋体"/>
                <w:szCs w:val="21"/>
                <w:highlight w:val="yellow"/>
                <w:lang w:val="en-US" w:eastAsia="zh-CN"/>
              </w:rPr>
              <w:t>5</w:t>
            </w:r>
            <w:r>
              <w:rPr>
                <w:rFonts w:hint="eastAsia" w:ascii="宋体" w:hAnsi="宋体" w:eastAsia="宋体" w:cs="宋体"/>
                <w:szCs w:val="21"/>
                <w:highlight w:val="yellow"/>
              </w:rPr>
              <w:t>年</w:t>
            </w:r>
            <w:r>
              <w:rPr>
                <w:rFonts w:hint="eastAsia" w:ascii="宋体" w:hAnsi="宋体" w:cs="宋体"/>
                <w:szCs w:val="21"/>
                <w:highlight w:val="yellow"/>
                <w:lang w:val="en-US" w:eastAsia="zh-CN"/>
              </w:rPr>
              <w:t>7</w:t>
            </w:r>
            <w:r>
              <w:rPr>
                <w:rFonts w:hint="eastAsia" w:ascii="宋体" w:hAnsi="宋体" w:eastAsia="宋体" w:cs="宋体"/>
                <w:szCs w:val="21"/>
                <w:highlight w:val="yellow"/>
              </w:rPr>
              <w:t>月</w:t>
            </w:r>
            <w:r>
              <w:rPr>
                <w:rFonts w:hint="eastAsia" w:ascii="宋体" w:hAnsi="宋体" w:cs="宋体"/>
                <w:szCs w:val="21"/>
                <w:highlight w:val="yellow"/>
                <w:lang w:val="en-US" w:eastAsia="zh-CN"/>
              </w:rPr>
              <w:t>10</w:t>
            </w:r>
            <w:r>
              <w:rPr>
                <w:rFonts w:hint="eastAsia" w:ascii="宋体" w:hAnsi="宋体" w:eastAsia="宋体" w:cs="宋体"/>
                <w:szCs w:val="21"/>
                <w:highlight w:val="yellow"/>
              </w:rPr>
              <w:t>日9时</w:t>
            </w:r>
            <w:r>
              <w:rPr>
                <w:rFonts w:hint="eastAsia" w:ascii="宋体" w:hAnsi="宋体" w:eastAsia="宋体" w:cs="宋体"/>
                <w:szCs w:val="21"/>
                <w:highlight w:val="yellow"/>
                <w:lang w:val="en-US" w:eastAsia="zh-CN"/>
              </w:rPr>
              <w:t>30分</w:t>
            </w:r>
          </w:p>
        </w:tc>
      </w:tr>
      <w:tr w14:paraId="5830C508">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49748D98">
            <w:pPr>
              <w:spacing w:line="360" w:lineRule="exact"/>
              <w:jc w:val="center"/>
              <w:rPr>
                <w:rFonts w:hint="eastAsia" w:ascii="宋体" w:hAnsi="宋体" w:eastAsia="宋体" w:cs="宋体"/>
                <w:szCs w:val="21"/>
              </w:rPr>
            </w:pPr>
            <w:r>
              <w:rPr>
                <w:rFonts w:hint="eastAsia" w:ascii="宋体" w:hAnsi="宋体" w:eastAsia="宋体" w:cs="宋体"/>
                <w:szCs w:val="21"/>
              </w:rPr>
              <w:t>4.2.2</w:t>
            </w:r>
          </w:p>
        </w:tc>
        <w:tc>
          <w:tcPr>
            <w:tcW w:w="2583" w:type="dxa"/>
            <w:tcBorders>
              <w:top w:val="single" w:color="auto" w:sz="4" w:space="0"/>
              <w:left w:val="single" w:color="auto" w:sz="4" w:space="0"/>
              <w:bottom w:val="single" w:color="auto" w:sz="4" w:space="0"/>
              <w:right w:val="single" w:color="auto" w:sz="4" w:space="0"/>
            </w:tcBorders>
            <w:vAlign w:val="center"/>
          </w:tcPr>
          <w:p w14:paraId="1AF887F6">
            <w:pPr>
              <w:spacing w:line="360" w:lineRule="exact"/>
              <w:jc w:val="center"/>
              <w:rPr>
                <w:rFonts w:hint="eastAsia" w:ascii="宋体" w:hAnsi="宋体" w:eastAsia="宋体" w:cs="宋体"/>
                <w:szCs w:val="21"/>
              </w:rPr>
            </w:pPr>
            <w:r>
              <w:rPr>
                <w:rFonts w:hint="eastAsia" w:ascii="宋体" w:hAnsi="宋体" w:eastAsia="宋体" w:cs="宋体"/>
                <w:szCs w:val="21"/>
              </w:rPr>
              <w:t>递交</w:t>
            </w:r>
            <w:r>
              <w:rPr>
                <w:rFonts w:hint="eastAsia" w:ascii="宋体" w:hAnsi="宋体" w:eastAsia="宋体" w:cs="宋体"/>
                <w:szCs w:val="21"/>
                <w:lang w:eastAsia="zh-CN"/>
              </w:rPr>
              <w:t>响应文件</w:t>
            </w:r>
            <w:r>
              <w:rPr>
                <w:rFonts w:hint="eastAsia" w:ascii="宋体" w:hAnsi="宋体" w:eastAsia="宋体" w:cs="宋体"/>
                <w:szCs w:val="21"/>
              </w:rPr>
              <w:t>地点</w:t>
            </w:r>
          </w:p>
        </w:tc>
        <w:tc>
          <w:tcPr>
            <w:tcW w:w="5817" w:type="dxa"/>
            <w:tcBorders>
              <w:top w:val="single" w:color="auto" w:sz="4" w:space="0"/>
              <w:left w:val="single" w:color="auto" w:sz="4" w:space="0"/>
              <w:bottom w:val="single" w:color="auto" w:sz="4" w:space="0"/>
              <w:right w:val="single" w:color="auto" w:sz="4" w:space="0"/>
            </w:tcBorders>
            <w:vAlign w:val="center"/>
          </w:tcPr>
          <w:p w14:paraId="6440B12A">
            <w:pPr>
              <w:spacing w:line="360" w:lineRule="exact"/>
              <w:jc w:val="left"/>
              <w:rPr>
                <w:rFonts w:hint="eastAsia" w:ascii="宋体" w:hAnsi="宋体" w:eastAsia="宋体" w:cs="宋体"/>
                <w:szCs w:val="21"/>
                <w:lang w:val="en-US" w:eastAsia="zh-CN"/>
              </w:rPr>
            </w:pPr>
            <w:r>
              <w:rPr>
                <w:rFonts w:hint="eastAsia" w:ascii="宋体" w:hAnsi="宋体" w:eastAsia="宋体" w:cs="宋体"/>
                <w:kern w:val="0"/>
                <w:szCs w:val="21"/>
              </w:rPr>
              <w:t>重庆市</w:t>
            </w:r>
            <w:r>
              <w:rPr>
                <w:rFonts w:hint="eastAsia" w:ascii="宋体" w:hAnsi="宋体" w:eastAsia="宋体" w:cs="宋体"/>
                <w:kern w:val="0"/>
                <w:szCs w:val="21"/>
                <w:lang w:val="en-US" w:eastAsia="zh-CN"/>
              </w:rPr>
              <w:t>涪陵区李渡鹤凤大道19号品鉴硅谷园十栋417</w:t>
            </w:r>
          </w:p>
        </w:tc>
      </w:tr>
      <w:tr w14:paraId="674F4D96">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42708DA4">
            <w:pPr>
              <w:spacing w:line="360" w:lineRule="exact"/>
              <w:jc w:val="center"/>
              <w:rPr>
                <w:rFonts w:hint="eastAsia" w:ascii="宋体" w:hAnsi="宋体" w:eastAsia="宋体" w:cs="宋体"/>
                <w:szCs w:val="21"/>
              </w:rPr>
            </w:pPr>
            <w:r>
              <w:rPr>
                <w:rFonts w:hint="eastAsia" w:ascii="宋体" w:hAnsi="宋体" w:eastAsia="宋体" w:cs="宋体"/>
                <w:szCs w:val="21"/>
              </w:rPr>
              <w:t>4.2.3</w:t>
            </w:r>
          </w:p>
        </w:tc>
        <w:tc>
          <w:tcPr>
            <w:tcW w:w="2583" w:type="dxa"/>
            <w:tcBorders>
              <w:top w:val="single" w:color="auto" w:sz="4" w:space="0"/>
              <w:left w:val="single" w:color="auto" w:sz="4" w:space="0"/>
              <w:bottom w:val="single" w:color="auto" w:sz="4" w:space="0"/>
              <w:right w:val="single" w:color="auto" w:sz="4" w:space="0"/>
            </w:tcBorders>
            <w:vAlign w:val="center"/>
          </w:tcPr>
          <w:p w14:paraId="776DCE14">
            <w:pPr>
              <w:spacing w:line="360" w:lineRule="exact"/>
              <w:jc w:val="center"/>
              <w:rPr>
                <w:rFonts w:hint="eastAsia" w:ascii="宋体" w:hAnsi="宋体" w:eastAsia="宋体" w:cs="宋体"/>
                <w:szCs w:val="21"/>
              </w:rPr>
            </w:pPr>
            <w:r>
              <w:rPr>
                <w:rFonts w:hint="eastAsia" w:ascii="宋体" w:hAnsi="宋体" w:eastAsia="宋体" w:cs="宋体"/>
                <w:szCs w:val="21"/>
                <w:lang w:eastAsia="zh-CN"/>
              </w:rPr>
              <w:t>响应文件</w:t>
            </w:r>
            <w:r>
              <w:rPr>
                <w:rFonts w:hint="eastAsia" w:ascii="宋体" w:hAnsi="宋体" w:eastAsia="宋体" w:cs="宋体"/>
                <w:szCs w:val="21"/>
              </w:rPr>
              <w:t>是否退还</w:t>
            </w:r>
          </w:p>
        </w:tc>
        <w:tc>
          <w:tcPr>
            <w:tcW w:w="5817" w:type="dxa"/>
            <w:tcBorders>
              <w:top w:val="single" w:color="auto" w:sz="4" w:space="0"/>
              <w:left w:val="single" w:color="auto" w:sz="4" w:space="0"/>
              <w:bottom w:val="single" w:color="auto" w:sz="4" w:space="0"/>
              <w:right w:val="single" w:color="auto" w:sz="4" w:space="0"/>
            </w:tcBorders>
            <w:vAlign w:val="center"/>
          </w:tcPr>
          <w:p w14:paraId="35430E47">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rPr>
              <w:t>☑否</w:t>
            </w:r>
          </w:p>
          <w:p w14:paraId="12CA742E">
            <w:pPr>
              <w:pStyle w:val="17"/>
              <w:topLinePunct/>
              <w:spacing w:line="360" w:lineRule="exact"/>
              <w:rPr>
                <w:rFonts w:hint="eastAsia" w:ascii="宋体" w:hAnsi="宋体" w:eastAsia="宋体" w:cs="宋体"/>
                <w:sz w:val="21"/>
                <w:szCs w:val="21"/>
              </w:rPr>
            </w:pPr>
            <w:r>
              <w:rPr>
                <w:rFonts w:hint="eastAsia" w:ascii="宋体" w:hAnsi="宋体" w:eastAsia="宋体" w:cs="宋体"/>
                <w:sz w:val="21"/>
                <w:szCs w:val="21"/>
              </w:rPr>
              <w:t>□是，退还时间：</w:t>
            </w:r>
          </w:p>
        </w:tc>
      </w:tr>
      <w:tr w14:paraId="38E82E7D">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65E3CA58">
            <w:pPr>
              <w:spacing w:line="360" w:lineRule="exact"/>
              <w:jc w:val="center"/>
              <w:rPr>
                <w:rFonts w:hint="eastAsia" w:ascii="宋体" w:hAnsi="宋体" w:eastAsia="宋体" w:cs="宋体"/>
                <w:szCs w:val="21"/>
              </w:rPr>
            </w:pPr>
            <w:r>
              <w:rPr>
                <w:rFonts w:hint="eastAsia" w:ascii="宋体" w:hAnsi="宋体" w:eastAsia="宋体" w:cs="宋体"/>
                <w:szCs w:val="21"/>
              </w:rPr>
              <w:t>5.1</w:t>
            </w:r>
          </w:p>
        </w:tc>
        <w:tc>
          <w:tcPr>
            <w:tcW w:w="2583" w:type="dxa"/>
            <w:tcBorders>
              <w:top w:val="single" w:color="auto" w:sz="4" w:space="0"/>
              <w:left w:val="single" w:color="auto" w:sz="4" w:space="0"/>
              <w:bottom w:val="single" w:color="auto" w:sz="4" w:space="0"/>
              <w:right w:val="single" w:color="auto" w:sz="4" w:space="0"/>
            </w:tcBorders>
            <w:vAlign w:val="center"/>
          </w:tcPr>
          <w:p w14:paraId="4A98792C">
            <w:pPr>
              <w:spacing w:line="360" w:lineRule="exact"/>
              <w:jc w:val="center"/>
              <w:rPr>
                <w:rFonts w:hint="eastAsia" w:ascii="宋体" w:hAnsi="宋体" w:eastAsia="宋体" w:cs="宋体"/>
                <w:szCs w:val="21"/>
              </w:rPr>
            </w:pPr>
            <w:r>
              <w:rPr>
                <w:rFonts w:hint="eastAsia" w:ascii="宋体" w:hAnsi="宋体" w:eastAsia="宋体" w:cs="宋体"/>
                <w:szCs w:val="21"/>
                <w:lang w:eastAsia="zh-CN"/>
              </w:rPr>
              <w:t>谈判</w:t>
            </w:r>
            <w:r>
              <w:rPr>
                <w:rFonts w:hint="eastAsia" w:ascii="宋体" w:hAnsi="宋体" w:eastAsia="宋体" w:cs="宋体"/>
                <w:szCs w:val="21"/>
              </w:rPr>
              <w:t>时间和地点</w:t>
            </w:r>
          </w:p>
        </w:tc>
        <w:tc>
          <w:tcPr>
            <w:tcW w:w="5817" w:type="dxa"/>
            <w:tcBorders>
              <w:top w:val="single" w:color="auto" w:sz="4" w:space="0"/>
              <w:left w:val="single" w:color="auto" w:sz="4" w:space="0"/>
              <w:bottom w:val="single" w:color="auto" w:sz="4" w:space="0"/>
              <w:right w:val="single" w:color="auto" w:sz="4" w:space="0"/>
            </w:tcBorders>
            <w:vAlign w:val="center"/>
          </w:tcPr>
          <w:p w14:paraId="1C4D0641">
            <w:pPr>
              <w:spacing w:line="360" w:lineRule="exact"/>
              <w:ind w:left="105" w:leftChars="50"/>
              <w:rPr>
                <w:rFonts w:hint="eastAsia" w:ascii="宋体" w:hAnsi="宋体" w:eastAsia="宋体" w:cs="宋体"/>
                <w:szCs w:val="21"/>
              </w:rPr>
            </w:pPr>
            <w:r>
              <w:rPr>
                <w:rFonts w:hint="eastAsia" w:ascii="宋体" w:hAnsi="宋体" w:eastAsia="宋体" w:cs="宋体"/>
                <w:szCs w:val="21"/>
                <w:lang w:eastAsia="zh-CN"/>
              </w:rPr>
              <w:t>谈判</w:t>
            </w:r>
            <w:r>
              <w:rPr>
                <w:rFonts w:hint="eastAsia" w:ascii="宋体" w:hAnsi="宋体" w:eastAsia="宋体" w:cs="宋体"/>
                <w:szCs w:val="21"/>
              </w:rPr>
              <w:t>时间：同</w:t>
            </w:r>
            <w:r>
              <w:rPr>
                <w:rFonts w:hint="eastAsia" w:ascii="宋体" w:hAnsi="宋体" w:eastAsia="宋体" w:cs="宋体"/>
                <w:szCs w:val="21"/>
                <w:lang w:eastAsia="zh-CN"/>
              </w:rPr>
              <w:t>谈判</w:t>
            </w:r>
            <w:r>
              <w:rPr>
                <w:rFonts w:hint="eastAsia" w:ascii="宋体" w:hAnsi="宋体" w:eastAsia="宋体" w:cs="宋体"/>
                <w:szCs w:val="21"/>
              </w:rPr>
              <w:t>截止时间</w:t>
            </w:r>
          </w:p>
          <w:p w14:paraId="311BB80B">
            <w:pPr>
              <w:spacing w:line="360" w:lineRule="exact"/>
              <w:ind w:left="105" w:leftChars="50"/>
              <w:rPr>
                <w:rFonts w:hint="eastAsia" w:ascii="宋体" w:hAnsi="宋体" w:eastAsia="宋体" w:cs="宋体"/>
                <w:szCs w:val="21"/>
                <w:lang w:val="en-US" w:eastAsia="zh-CN"/>
              </w:rPr>
            </w:pPr>
            <w:r>
              <w:rPr>
                <w:rFonts w:hint="eastAsia" w:ascii="宋体" w:hAnsi="宋体" w:eastAsia="宋体" w:cs="宋体"/>
                <w:szCs w:val="21"/>
                <w:lang w:eastAsia="zh-CN"/>
              </w:rPr>
              <w:t>谈判</w:t>
            </w:r>
            <w:r>
              <w:rPr>
                <w:rFonts w:hint="eastAsia" w:ascii="宋体" w:hAnsi="宋体" w:eastAsia="宋体" w:cs="宋体"/>
                <w:szCs w:val="21"/>
              </w:rPr>
              <w:t>地点：</w:t>
            </w:r>
            <w:r>
              <w:rPr>
                <w:rFonts w:hint="eastAsia" w:ascii="宋体" w:hAnsi="宋体" w:eastAsia="宋体" w:cs="宋体"/>
                <w:kern w:val="0"/>
                <w:szCs w:val="21"/>
              </w:rPr>
              <w:t>重庆市</w:t>
            </w:r>
            <w:r>
              <w:rPr>
                <w:rFonts w:hint="eastAsia" w:ascii="宋体" w:hAnsi="宋体" w:eastAsia="宋体" w:cs="宋体"/>
                <w:kern w:val="0"/>
                <w:szCs w:val="21"/>
                <w:lang w:val="en-US" w:eastAsia="zh-CN"/>
              </w:rPr>
              <w:t>涪陵区李渡鹤凤大道19号品鉴硅谷园十栋417</w:t>
            </w:r>
          </w:p>
        </w:tc>
      </w:tr>
      <w:tr w14:paraId="77190A80">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1FC6E149">
            <w:pPr>
              <w:spacing w:line="360" w:lineRule="exact"/>
              <w:jc w:val="center"/>
              <w:rPr>
                <w:rFonts w:hint="eastAsia" w:ascii="宋体" w:hAnsi="宋体" w:eastAsia="宋体" w:cs="宋体"/>
                <w:szCs w:val="21"/>
              </w:rPr>
            </w:pPr>
            <w:r>
              <w:rPr>
                <w:rFonts w:hint="eastAsia" w:ascii="宋体" w:hAnsi="宋体" w:eastAsia="宋体" w:cs="宋体"/>
                <w:szCs w:val="21"/>
              </w:rPr>
              <w:t>5.2（4）</w:t>
            </w:r>
          </w:p>
        </w:tc>
        <w:tc>
          <w:tcPr>
            <w:tcW w:w="2583" w:type="dxa"/>
            <w:tcBorders>
              <w:top w:val="single" w:color="auto" w:sz="4" w:space="0"/>
              <w:left w:val="single" w:color="auto" w:sz="4" w:space="0"/>
              <w:bottom w:val="single" w:color="auto" w:sz="4" w:space="0"/>
              <w:right w:val="single" w:color="auto" w:sz="4" w:space="0"/>
            </w:tcBorders>
            <w:vAlign w:val="center"/>
          </w:tcPr>
          <w:p w14:paraId="6212FAA7">
            <w:pPr>
              <w:spacing w:line="360" w:lineRule="exact"/>
              <w:jc w:val="center"/>
              <w:rPr>
                <w:rFonts w:hint="eastAsia" w:ascii="宋体" w:hAnsi="宋体" w:eastAsia="宋体" w:cs="宋体"/>
                <w:szCs w:val="21"/>
              </w:rPr>
            </w:pPr>
            <w:r>
              <w:rPr>
                <w:rFonts w:hint="eastAsia" w:ascii="宋体" w:hAnsi="宋体" w:eastAsia="宋体" w:cs="宋体"/>
                <w:szCs w:val="21"/>
                <w:lang w:eastAsia="zh-CN"/>
              </w:rPr>
              <w:t>谈判</w:t>
            </w:r>
            <w:r>
              <w:rPr>
                <w:rFonts w:hint="eastAsia" w:ascii="宋体" w:hAnsi="宋体" w:eastAsia="宋体" w:cs="宋体"/>
                <w:szCs w:val="21"/>
              </w:rPr>
              <w:t>程序</w:t>
            </w:r>
          </w:p>
        </w:tc>
        <w:tc>
          <w:tcPr>
            <w:tcW w:w="5817" w:type="dxa"/>
            <w:tcBorders>
              <w:top w:val="single" w:color="auto" w:sz="4" w:space="0"/>
              <w:left w:val="single" w:color="auto" w:sz="4" w:space="0"/>
              <w:bottom w:val="single" w:color="auto" w:sz="4" w:space="0"/>
              <w:right w:val="single" w:color="auto" w:sz="4" w:space="0"/>
            </w:tcBorders>
            <w:vAlign w:val="center"/>
          </w:tcPr>
          <w:p w14:paraId="2750C46B">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rPr>
              <w:t>主持人按下列程序进行</w:t>
            </w:r>
            <w:r>
              <w:rPr>
                <w:rFonts w:hint="eastAsia" w:ascii="宋体" w:hAnsi="宋体" w:eastAsia="宋体" w:cs="宋体"/>
                <w:bCs/>
                <w:kern w:val="0"/>
                <w:szCs w:val="21"/>
                <w:lang w:eastAsia="zh-CN"/>
              </w:rPr>
              <w:t>谈判</w:t>
            </w:r>
            <w:r>
              <w:rPr>
                <w:rFonts w:hint="eastAsia" w:ascii="宋体" w:hAnsi="宋体" w:eastAsia="宋体" w:cs="宋体"/>
                <w:bCs/>
                <w:kern w:val="0"/>
                <w:szCs w:val="21"/>
              </w:rPr>
              <w:t>：</w:t>
            </w:r>
          </w:p>
          <w:p w14:paraId="5CD2E51D">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rPr>
              <w:t>1、宣布</w:t>
            </w:r>
            <w:r>
              <w:rPr>
                <w:rFonts w:hint="eastAsia" w:ascii="宋体" w:hAnsi="宋体" w:eastAsia="宋体" w:cs="宋体"/>
                <w:bCs/>
                <w:kern w:val="0"/>
                <w:szCs w:val="21"/>
                <w:lang w:eastAsia="zh-CN"/>
              </w:rPr>
              <w:t>谈判</w:t>
            </w:r>
            <w:r>
              <w:rPr>
                <w:rFonts w:hint="eastAsia" w:ascii="宋体" w:hAnsi="宋体" w:eastAsia="宋体" w:cs="宋体"/>
                <w:bCs/>
                <w:kern w:val="0"/>
                <w:szCs w:val="21"/>
              </w:rPr>
              <w:t>会议纪律；</w:t>
            </w:r>
          </w:p>
          <w:p w14:paraId="549F8DC3">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rPr>
              <w:t>2、宣布采购人、唱标人、记录人、监督人等有关人员姓名；</w:t>
            </w:r>
          </w:p>
          <w:p w14:paraId="0FEEBC5C">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rPr>
              <w:t>3、公布在</w:t>
            </w:r>
            <w:r>
              <w:rPr>
                <w:rFonts w:hint="eastAsia" w:ascii="宋体" w:hAnsi="宋体" w:eastAsia="宋体" w:cs="宋体"/>
                <w:bCs/>
                <w:kern w:val="0"/>
                <w:szCs w:val="21"/>
                <w:lang w:eastAsia="zh-CN"/>
              </w:rPr>
              <w:t>谈判</w:t>
            </w:r>
            <w:r>
              <w:rPr>
                <w:rFonts w:hint="eastAsia" w:ascii="宋体" w:hAnsi="宋体" w:eastAsia="宋体" w:cs="宋体"/>
                <w:bCs/>
                <w:kern w:val="0"/>
                <w:szCs w:val="21"/>
              </w:rPr>
              <w:t>截止时间前</w:t>
            </w:r>
            <w:r>
              <w:rPr>
                <w:rFonts w:hint="eastAsia" w:ascii="宋体" w:hAnsi="宋体" w:eastAsia="宋体" w:cs="宋体"/>
                <w:bCs/>
                <w:kern w:val="0"/>
                <w:szCs w:val="21"/>
                <w:lang w:val="en-US" w:eastAsia="zh-CN"/>
              </w:rPr>
              <w:t>成功</w:t>
            </w:r>
            <w:r>
              <w:rPr>
                <w:rFonts w:hint="eastAsia" w:ascii="宋体" w:hAnsi="宋体" w:eastAsia="宋体" w:cs="宋体"/>
                <w:bCs/>
                <w:kern w:val="0"/>
                <w:szCs w:val="21"/>
              </w:rPr>
              <w:t>递交</w:t>
            </w:r>
            <w:r>
              <w:rPr>
                <w:rFonts w:hint="eastAsia" w:ascii="宋体" w:hAnsi="宋体" w:eastAsia="宋体" w:cs="宋体"/>
                <w:bCs/>
                <w:kern w:val="0"/>
                <w:szCs w:val="21"/>
                <w:lang w:eastAsia="zh-CN"/>
              </w:rPr>
              <w:t>响应文件</w:t>
            </w:r>
            <w:r>
              <w:rPr>
                <w:rFonts w:hint="eastAsia" w:ascii="宋体" w:hAnsi="宋体" w:eastAsia="宋体" w:cs="宋体"/>
                <w:bCs/>
                <w:kern w:val="0"/>
                <w:szCs w:val="21"/>
              </w:rPr>
              <w:t>的供应商名称；</w:t>
            </w:r>
          </w:p>
          <w:p w14:paraId="4A2ECE5C">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lang w:val="en-US" w:eastAsia="zh-CN"/>
              </w:rPr>
              <w:t>4</w:t>
            </w:r>
            <w:r>
              <w:rPr>
                <w:rFonts w:hint="eastAsia" w:ascii="宋体" w:hAnsi="宋体" w:eastAsia="宋体" w:cs="宋体"/>
                <w:bCs/>
                <w:kern w:val="0"/>
                <w:szCs w:val="21"/>
              </w:rPr>
              <w:t>、密封情况检查：</w:t>
            </w:r>
            <w:r>
              <w:rPr>
                <w:rFonts w:hint="eastAsia" w:ascii="宋体" w:hAnsi="宋体" w:eastAsia="宋体" w:cs="宋体"/>
                <w:bCs/>
                <w:kern w:val="0"/>
                <w:szCs w:val="21"/>
                <w:lang w:val="en-US" w:eastAsia="zh-CN"/>
              </w:rPr>
              <w:t>采购人监督人员</w:t>
            </w:r>
            <w:r>
              <w:rPr>
                <w:rFonts w:hint="eastAsia" w:ascii="宋体" w:hAnsi="宋体" w:eastAsia="宋体" w:cs="宋体"/>
                <w:bCs/>
                <w:kern w:val="0"/>
                <w:szCs w:val="21"/>
              </w:rPr>
              <w:t>检查</w:t>
            </w:r>
            <w:r>
              <w:rPr>
                <w:rFonts w:hint="eastAsia" w:ascii="宋体" w:hAnsi="宋体" w:eastAsia="宋体" w:cs="宋体"/>
                <w:bCs/>
                <w:kern w:val="0"/>
                <w:szCs w:val="21"/>
                <w:lang w:eastAsia="zh-CN"/>
              </w:rPr>
              <w:t>响应文件</w:t>
            </w:r>
            <w:r>
              <w:rPr>
                <w:rFonts w:hint="eastAsia" w:ascii="宋体" w:hAnsi="宋体" w:eastAsia="宋体" w:cs="宋体"/>
                <w:bCs/>
                <w:kern w:val="0"/>
                <w:szCs w:val="21"/>
              </w:rPr>
              <w:t>的密封情况并确认。</w:t>
            </w:r>
          </w:p>
          <w:p w14:paraId="14BA20E5">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lang w:val="en-US" w:eastAsia="zh-CN"/>
              </w:rPr>
              <w:t>5</w:t>
            </w:r>
            <w:r>
              <w:rPr>
                <w:rFonts w:hint="eastAsia" w:ascii="宋体" w:hAnsi="宋体" w:eastAsia="宋体" w:cs="宋体"/>
                <w:bCs/>
                <w:kern w:val="0"/>
                <w:szCs w:val="21"/>
              </w:rPr>
              <w:t>、开启</w:t>
            </w:r>
            <w:r>
              <w:rPr>
                <w:rFonts w:hint="eastAsia" w:ascii="宋体" w:hAnsi="宋体" w:eastAsia="宋体" w:cs="宋体"/>
                <w:bCs/>
                <w:kern w:val="0"/>
                <w:szCs w:val="21"/>
                <w:lang w:eastAsia="zh-CN"/>
              </w:rPr>
              <w:t>响应文件</w:t>
            </w:r>
            <w:r>
              <w:rPr>
                <w:rFonts w:hint="eastAsia" w:ascii="宋体" w:hAnsi="宋体" w:eastAsia="宋体" w:cs="宋体"/>
                <w:bCs/>
                <w:kern w:val="0"/>
                <w:szCs w:val="21"/>
              </w:rPr>
              <w:t>顺序：随机开启；</w:t>
            </w:r>
          </w:p>
          <w:p w14:paraId="0BC9519A">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lang w:val="en-US" w:eastAsia="zh-CN"/>
              </w:rPr>
              <w:t>6</w:t>
            </w:r>
            <w:r>
              <w:rPr>
                <w:rFonts w:hint="eastAsia" w:ascii="宋体" w:hAnsi="宋体" w:eastAsia="宋体" w:cs="宋体"/>
                <w:bCs/>
                <w:kern w:val="0"/>
                <w:szCs w:val="21"/>
              </w:rPr>
              <w:t>、公布供应商名称、项目名称、</w:t>
            </w:r>
            <w:r>
              <w:rPr>
                <w:rFonts w:hint="eastAsia" w:ascii="宋体" w:hAnsi="宋体" w:eastAsia="宋体" w:cs="宋体"/>
                <w:bCs/>
                <w:kern w:val="0"/>
                <w:szCs w:val="21"/>
                <w:lang w:eastAsia="zh-CN"/>
              </w:rPr>
              <w:t>谈判</w:t>
            </w:r>
            <w:r>
              <w:rPr>
                <w:rFonts w:hint="eastAsia" w:ascii="宋体" w:hAnsi="宋体" w:eastAsia="宋体" w:cs="宋体"/>
                <w:bCs/>
                <w:kern w:val="0"/>
                <w:szCs w:val="21"/>
              </w:rPr>
              <w:t>报价、质量目标、工期及其他内容；</w:t>
            </w:r>
          </w:p>
          <w:p w14:paraId="5C79BFF3">
            <w:pPr>
              <w:adjustRightInd w:val="0"/>
              <w:snapToGrid w:val="0"/>
              <w:spacing w:line="360" w:lineRule="exact"/>
              <w:rPr>
                <w:rFonts w:hint="eastAsia" w:ascii="宋体" w:hAnsi="宋体" w:eastAsia="宋体" w:cs="宋体"/>
                <w:szCs w:val="21"/>
                <w:lang w:eastAsia="zh-CN"/>
              </w:rPr>
            </w:pPr>
            <w:r>
              <w:rPr>
                <w:rFonts w:hint="eastAsia" w:ascii="宋体" w:hAnsi="宋体" w:eastAsia="宋体" w:cs="宋体"/>
                <w:bCs/>
                <w:kern w:val="0"/>
                <w:szCs w:val="21"/>
                <w:lang w:val="en-US" w:eastAsia="zh-CN"/>
              </w:rPr>
              <w:t>7</w:t>
            </w:r>
            <w:r>
              <w:rPr>
                <w:rFonts w:hint="eastAsia" w:ascii="宋体" w:hAnsi="宋体" w:eastAsia="宋体" w:cs="宋体"/>
                <w:bCs/>
                <w:kern w:val="0"/>
                <w:szCs w:val="21"/>
              </w:rPr>
              <w:t>、</w:t>
            </w:r>
            <w:r>
              <w:rPr>
                <w:rFonts w:hint="eastAsia" w:ascii="宋体" w:hAnsi="宋体" w:cs="宋体"/>
                <w:bCs/>
                <w:kern w:val="0"/>
                <w:szCs w:val="21"/>
                <w:lang w:val="en-US" w:eastAsia="zh-CN"/>
              </w:rPr>
              <w:t>评审小组</w:t>
            </w:r>
            <w:r>
              <w:rPr>
                <w:rFonts w:hint="eastAsia" w:ascii="宋体" w:hAnsi="宋体" w:eastAsia="宋体" w:cs="宋体"/>
                <w:bCs/>
                <w:kern w:val="0"/>
                <w:szCs w:val="21"/>
              </w:rPr>
              <w:t>、监督人、</w:t>
            </w:r>
            <w:r>
              <w:rPr>
                <w:rFonts w:hint="eastAsia" w:ascii="宋体" w:hAnsi="宋体" w:cs="宋体"/>
                <w:bCs/>
                <w:kern w:val="0"/>
                <w:szCs w:val="21"/>
                <w:lang w:val="en-US" w:eastAsia="zh-CN"/>
              </w:rPr>
              <w:t>投标人</w:t>
            </w:r>
            <w:r>
              <w:rPr>
                <w:rFonts w:hint="eastAsia" w:ascii="宋体" w:hAnsi="宋体" w:eastAsia="宋体" w:cs="宋体"/>
                <w:bCs/>
                <w:kern w:val="0"/>
                <w:szCs w:val="21"/>
              </w:rPr>
              <w:t>在</w:t>
            </w:r>
            <w:r>
              <w:rPr>
                <w:rFonts w:hint="eastAsia" w:ascii="宋体" w:hAnsi="宋体" w:eastAsia="宋体" w:cs="宋体"/>
                <w:bCs/>
                <w:kern w:val="0"/>
                <w:szCs w:val="21"/>
                <w:lang w:eastAsia="zh-CN"/>
              </w:rPr>
              <w:t>谈判</w:t>
            </w:r>
            <w:r>
              <w:rPr>
                <w:rFonts w:hint="eastAsia" w:ascii="宋体" w:hAnsi="宋体" w:eastAsia="宋体" w:cs="宋体"/>
                <w:bCs/>
                <w:kern w:val="0"/>
                <w:szCs w:val="21"/>
                <w:lang w:val="en-US" w:eastAsia="zh-CN"/>
              </w:rPr>
              <w:t>一次报价表</w:t>
            </w:r>
            <w:r>
              <w:rPr>
                <w:rFonts w:hint="eastAsia" w:ascii="宋体" w:hAnsi="宋体" w:eastAsia="宋体" w:cs="宋体"/>
                <w:bCs/>
                <w:kern w:val="0"/>
                <w:szCs w:val="21"/>
              </w:rPr>
              <w:t>上签字确认</w:t>
            </w:r>
            <w:r>
              <w:rPr>
                <w:rFonts w:hint="eastAsia" w:ascii="宋体" w:hAnsi="宋体" w:cs="宋体"/>
                <w:bCs/>
                <w:kern w:val="0"/>
                <w:szCs w:val="21"/>
                <w:lang w:eastAsia="zh-CN"/>
              </w:rPr>
              <w:t>。</w:t>
            </w:r>
          </w:p>
        </w:tc>
      </w:tr>
      <w:tr w14:paraId="0A55ACE1">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5402597E">
            <w:pPr>
              <w:spacing w:line="360" w:lineRule="exact"/>
              <w:jc w:val="center"/>
              <w:rPr>
                <w:rFonts w:hint="eastAsia" w:ascii="宋体" w:hAnsi="宋体" w:eastAsia="宋体" w:cs="宋体"/>
                <w:szCs w:val="21"/>
              </w:rPr>
            </w:pPr>
            <w:r>
              <w:rPr>
                <w:rFonts w:hint="eastAsia" w:ascii="宋体" w:hAnsi="宋体" w:eastAsia="宋体" w:cs="宋体"/>
                <w:szCs w:val="21"/>
              </w:rPr>
              <w:t>6.1.1</w:t>
            </w:r>
          </w:p>
        </w:tc>
        <w:tc>
          <w:tcPr>
            <w:tcW w:w="2583" w:type="dxa"/>
            <w:tcBorders>
              <w:top w:val="single" w:color="auto" w:sz="4" w:space="0"/>
              <w:left w:val="single" w:color="auto" w:sz="4" w:space="0"/>
              <w:bottom w:val="single" w:color="auto" w:sz="4" w:space="0"/>
              <w:right w:val="single" w:color="auto" w:sz="4" w:space="0"/>
            </w:tcBorders>
            <w:vAlign w:val="center"/>
          </w:tcPr>
          <w:p w14:paraId="3F43195E">
            <w:pPr>
              <w:spacing w:line="360" w:lineRule="exact"/>
              <w:jc w:val="center"/>
              <w:rPr>
                <w:rFonts w:hint="eastAsia" w:ascii="宋体" w:hAnsi="宋体" w:eastAsia="宋体" w:cs="宋体"/>
                <w:szCs w:val="21"/>
              </w:rPr>
            </w:pPr>
            <w:r>
              <w:rPr>
                <w:rFonts w:hint="eastAsia" w:ascii="宋体" w:hAnsi="宋体" w:eastAsia="宋体" w:cs="宋体"/>
                <w:szCs w:val="21"/>
              </w:rPr>
              <w:t>评</w:t>
            </w:r>
            <w:r>
              <w:rPr>
                <w:rFonts w:hint="eastAsia" w:ascii="宋体" w:hAnsi="宋体" w:eastAsia="宋体" w:cs="宋体"/>
                <w:szCs w:val="21"/>
                <w:lang w:val="en-US" w:eastAsia="zh-CN"/>
              </w:rPr>
              <w:t>审</w:t>
            </w:r>
            <w:r>
              <w:rPr>
                <w:rFonts w:hint="eastAsia" w:ascii="宋体" w:hAnsi="宋体" w:eastAsia="宋体" w:cs="宋体"/>
                <w:szCs w:val="21"/>
              </w:rPr>
              <w:t>小组的组建</w:t>
            </w:r>
          </w:p>
        </w:tc>
        <w:tc>
          <w:tcPr>
            <w:tcW w:w="5817" w:type="dxa"/>
            <w:tcBorders>
              <w:top w:val="single" w:color="auto" w:sz="4" w:space="0"/>
              <w:left w:val="single" w:color="auto" w:sz="4" w:space="0"/>
              <w:bottom w:val="single" w:color="auto" w:sz="4" w:space="0"/>
              <w:right w:val="single" w:color="auto" w:sz="4" w:space="0"/>
            </w:tcBorders>
            <w:vAlign w:val="center"/>
          </w:tcPr>
          <w:p w14:paraId="0916A025">
            <w:pPr>
              <w:spacing w:line="360" w:lineRule="exact"/>
              <w:rPr>
                <w:rFonts w:hint="eastAsia" w:ascii="宋体" w:hAnsi="宋体" w:eastAsia="宋体" w:cs="宋体"/>
                <w:szCs w:val="21"/>
              </w:rPr>
            </w:pPr>
            <w:r>
              <w:rPr>
                <w:rFonts w:hint="eastAsia" w:ascii="宋体" w:hAnsi="宋体" w:eastAsia="宋体" w:cs="宋体"/>
                <w:kern w:val="0"/>
                <w:szCs w:val="21"/>
              </w:rPr>
              <w:t>由采购人依法组建。</w:t>
            </w:r>
          </w:p>
        </w:tc>
      </w:tr>
      <w:tr w14:paraId="7F91D20E">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0881A461">
            <w:pPr>
              <w:spacing w:line="360" w:lineRule="exact"/>
              <w:jc w:val="center"/>
              <w:rPr>
                <w:rFonts w:hint="eastAsia" w:ascii="宋体" w:hAnsi="宋体" w:eastAsia="宋体" w:cs="宋体"/>
                <w:szCs w:val="21"/>
                <w:lang w:eastAsia="zh-CN"/>
              </w:rPr>
            </w:pPr>
            <w:r>
              <w:rPr>
                <w:rFonts w:hint="eastAsia" w:ascii="宋体" w:hAnsi="宋体" w:eastAsia="宋体" w:cs="宋体"/>
                <w:szCs w:val="21"/>
              </w:rPr>
              <w:t>7.</w:t>
            </w:r>
            <w:r>
              <w:rPr>
                <w:rFonts w:hint="eastAsia" w:ascii="宋体" w:hAnsi="宋体" w:eastAsia="宋体" w:cs="宋体"/>
                <w:szCs w:val="21"/>
                <w:lang w:val="en-US" w:eastAsia="zh-CN"/>
              </w:rPr>
              <w:t>1</w:t>
            </w:r>
          </w:p>
        </w:tc>
        <w:tc>
          <w:tcPr>
            <w:tcW w:w="2583" w:type="dxa"/>
            <w:tcBorders>
              <w:top w:val="single" w:color="auto" w:sz="4" w:space="0"/>
              <w:left w:val="single" w:color="auto" w:sz="4" w:space="0"/>
              <w:bottom w:val="single" w:color="auto" w:sz="4" w:space="0"/>
              <w:right w:val="single" w:color="auto" w:sz="4" w:space="0"/>
            </w:tcBorders>
            <w:vAlign w:val="center"/>
          </w:tcPr>
          <w:p w14:paraId="4D2D59E5">
            <w:pPr>
              <w:spacing w:line="360" w:lineRule="exact"/>
              <w:ind w:right="84" w:rightChars="40"/>
              <w:jc w:val="center"/>
              <w:rPr>
                <w:rFonts w:hint="eastAsia" w:ascii="宋体" w:hAnsi="宋体" w:eastAsia="宋体" w:cs="宋体"/>
                <w:szCs w:val="21"/>
              </w:rPr>
            </w:pPr>
            <w:r>
              <w:rPr>
                <w:rFonts w:hint="eastAsia" w:ascii="宋体" w:hAnsi="宋体" w:eastAsia="宋体" w:cs="宋体"/>
                <w:color w:val="0000FF"/>
                <w:szCs w:val="21"/>
              </w:rPr>
              <w:t>是否授权评</w:t>
            </w:r>
            <w:r>
              <w:rPr>
                <w:rFonts w:hint="eastAsia" w:ascii="宋体" w:hAnsi="宋体" w:eastAsia="宋体" w:cs="宋体"/>
                <w:color w:val="0000FF"/>
                <w:szCs w:val="21"/>
                <w:lang w:val="en-US" w:eastAsia="zh-CN"/>
              </w:rPr>
              <w:t>审</w:t>
            </w:r>
            <w:r>
              <w:rPr>
                <w:rFonts w:hint="eastAsia" w:ascii="宋体" w:hAnsi="宋体" w:eastAsia="宋体" w:cs="宋体"/>
                <w:color w:val="0000FF"/>
                <w:szCs w:val="21"/>
              </w:rPr>
              <w:t>小组确定成交供应商</w:t>
            </w:r>
          </w:p>
        </w:tc>
        <w:tc>
          <w:tcPr>
            <w:tcW w:w="5817" w:type="dxa"/>
            <w:tcBorders>
              <w:top w:val="single" w:color="auto" w:sz="4" w:space="0"/>
              <w:left w:val="single" w:color="auto" w:sz="4" w:space="0"/>
              <w:bottom w:val="single" w:color="auto" w:sz="4" w:space="0"/>
              <w:right w:val="single" w:color="auto" w:sz="4" w:space="0"/>
            </w:tcBorders>
            <w:vAlign w:val="center"/>
          </w:tcPr>
          <w:p w14:paraId="33DA4AE0">
            <w:pPr>
              <w:spacing w:line="360" w:lineRule="exact"/>
              <w:ind w:right="84" w:rightChars="40"/>
              <w:rPr>
                <w:rFonts w:hint="eastAsia" w:ascii="宋体" w:hAnsi="宋体" w:eastAsia="宋体" w:cs="宋体"/>
                <w:szCs w:val="21"/>
              </w:rPr>
            </w:pPr>
            <w:r>
              <w:rPr>
                <w:rFonts w:hint="eastAsia" w:ascii="宋体" w:hAnsi="宋体" w:eastAsia="宋体" w:cs="宋体"/>
                <w:color w:val="0000FF"/>
                <w:kern w:val="0"/>
                <w:szCs w:val="21"/>
              </w:rPr>
              <w:t>否</w:t>
            </w:r>
            <w:r>
              <w:rPr>
                <w:rFonts w:hint="eastAsia" w:ascii="宋体" w:hAnsi="宋体" w:cs="宋体"/>
                <w:color w:val="0000FF"/>
                <w:kern w:val="0"/>
                <w:szCs w:val="21"/>
                <w:lang w:eastAsia="zh-CN"/>
              </w:rPr>
              <w:t>。</w:t>
            </w:r>
            <w:r>
              <w:rPr>
                <w:rFonts w:hint="eastAsia" w:ascii="宋体" w:hAnsi="宋体" w:cs="宋体"/>
                <w:color w:val="0000FF"/>
                <w:kern w:val="0"/>
                <w:szCs w:val="21"/>
                <w:lang w:val="en-US" w:eastAsia="zh-CN"/>
              </w:rPr>
              <w:t>经初步评审合格报价由低到高排序，排序前三名投标人进行最终报价，最终报价不得高于初次报价</w:t>
            </w:r>
            <w:r>
              <w:rPr>
                <w:rFonts w:hint="eastAsia" w:ascii="宋体" w:hAnsi="宋体" w:eastAsia="宋体" w:cs="宋体"/>
                <w:color w:val="0000FF"/>
                <w:kern w:val="0"/>
                <w:szCs w:val="21"/>
              </w:rPr>
              <w:t>。</w:t>
            </w:r>
            <w:r>
              <w:rPr>
                <w:rFonts w:hint="eastAsia" w:ascii="宋体" w:hAnsi="宋体" w:cs="宋体"/>
                <w:color w:val="0000FF"/>
                <w:kern w:val="0"/>
                <w:szCs w:val="21"/>
                <w:lang w:val="en-US" w:eastAsia="zh-CN"/>
              </w:rPr>
              <w:t>评审小组对前三名单位进行详细评审打分，按得分由高到低推荐成交候选人。</w:t>
            </w:r>
          </w:p>
        </w:tc>
      </w:tr>
      <w:tr w14:paraId="16F78C53">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E3D401B">
            <w:pPr>
              <w:spacing w:line="360" w:lineRule="exact"/>
              <w:jc w:val="center"/>
              <w:rPr>
                <w:rFonts w:hint="eastAsia" w:ascii="宋体" w:hAnsi="宋体" w:eastAsia="宋体" w:cs="宋体"/>
                <w:szCs w:val="21"/>
                <w:lang w:eastAsia="zh-CN"/>
              </w:rPr>
            </w:pPr>
            <w:r>
              <w:rPr>
                <w:rFonts w:hint="eastAsia" w:ascii="宋体" w:hAnsi="宋体" w:eastAsia="宋体" w:cs="宋体"/>
                <w:szCs w:val="21"/>
              </w:rPr>
              <w:t>7.</w:t>
            </w:r>
            <w:r>
              <w:rPr>
                <w:rFonts w:hint="eastAsia" w:ascii="宋体" w:hAnsi="宋体" w:eastAsia="宋体" w:cs="宋体"/>
                <w:szCs w:val="21"/>
                <w:lang w:val="en-US" w:eastAsia="zh-CN"/>
              </w:rPr>
              <w:t>2</w:t>
            </w:r>
          </w:p>
        </w:tc>
        <w:tc>
          <w:tcPr>
            <w:tcW w:w="2583" w:type="dxa"/>
            <w:tcBorders>
              <w:top w:val="single" w:color="auto" w:sz="4" w:space="0"/>
              <w:left w:val="single" w:color="auto" w:sz="4" w:space="0"/>
              <w:bottom w:val="single" w:color="auto" w:sz="4" w:space="0"/>
              <w:right w:val="single" w:color="auto" w:sz="4" w:space="0"/>
            </w:tcBorders>
            <w:vAlign w:val="center"/>
          </w:tcPr>
          <w:p w14:paraId="03C56959">
            <w:pPr>
              <w:spacing w:line="360" w:lineRule="exact"/>
              <w:jc w:val="center"/>
              <w:rPr>
                <w:rFonts w:hint="eastAsia" w:ascii="宋体" w:hAnsi="宋体" w:eastAsia="宋体" w:cs="宋体"/>
                <w:szCs w:val="21"/>
              </w:rPr>
            </w:pPr>
            <w:r>
              <w:rPr>
                <w:rFonts w:hint="eastAsia" w:ascii="宋体" w:hAnsi="宋体" w:eastAsia="宋体" w:cs="宋体"/>
                <w:szCs w:val="21"/>
              </w:rPr>
              <w:t>技术成果经济补偿</w:t>
            </w:r>
          </w:p>
        </w:tc>
        <w:tc>
          <w:tcPr>
            <w:tcW w:w="5817" w:type="dxa"/>
            <w:tcBorders>
              <w:top w:val="single" w:color="auto" w:sz="4" w:space="0"/>
              <w:left w:val="single" w:color="auto" w:sz="4" w:space="0"/>
              <w:bottom w:val="single" w:color="auto" w:sz="4" w:space="0"/>
              <w:right w:val="single" w:color="auto" w:sz="4" w:space="0"/>
            </w:tcBorders>
            <w:vAlign w:val="center"/>
          </w:tcPr>
          <w:p w14:paraId="508BB6D4">
            <w:pPr>
              <w:tabs>
                <w:tab w:val="left" w:pos="360"/>
              </w:tabs>
              <w:spacing w:line="360" w:lineRule="exact"/>
              <w:rPr>
                <w:rFonts w:hint="eastAsia" w:ascii="宋体" w:hAnsi="宋体" w:eastAsia="宋体" w:cs="宋体"/>
                <w:szCs w:val="21"/>
              </w:rPr>
            </w:pPr>
            <w:r>
              <w:rPr>
                <w:rFonts w:hint="eastAsia" w:ascii="宋体" w:hAnsi="宋体" w:eastAsia="宋体" w:cs="宋体"/>
                <w:szCs w:val="21"/>
              </w:rPr>
              <w:t>☑不补偿</w:t>
            </w:r>
          </w:p>
          <w:p w14:paraId="79582B6B">
            <w:pPr>
              <w:spacing w:line="360" w:lineRule="exact"/>
              <w:rPr>
                <w:rFonts w:hint="eastAsia" w:ascii="宋体" w:hAnsi="宋体" w:eastAsia="宋体" w:cs="宋体"/>
                <w:szCs w:val="21"/>
              </w:rPr>
            </w:pPr>
            <w:r>
              <w:rPr>
                <w:rFonts w:hint="eastAsia" w:ascii="宋体" w:hAnsi="宋体" w:eastAsia="宋体" w:cs="宋体"/>
                <w:szCs w:val="21"/>
              </w:rPr>
              <w:t>□补偿，补偿标准：</w:t>
            </w:r>
          </w:p>
        </w:tc>
      </w:tr>
      <w:tr w14:paraId="6CA4D307">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35F2C488">
            <w:pPr>
              <w:spacing w:line="360" w:lineRule="exact"/>
              <w:jc w:val="center"/>
              <w:rPr>
                <w:rFonts w:hint="eastAsia" w:ascii="宋体" w:hAnsi="宋体" w:eastAsia="宋体" w:cs="宋体"/>
                <w:szCs w:val="21"/>
                <w:lang w:eastAsia="zh-CN"/>
              </w:rPr>
            </w:pPr>
            <w:r>
              <w:rPr>
                <w:rFonts w:hint="eastAsia" w:ascii="宋体" w:hAnsi="宋体" w:eastAsia="宋体" w:cs="宋体"/>
                <w:szCs w:val="21"/>
              </w:rPr>
              <w:t>7.</w:t>
            </w:r>
            <w:r>
              <w:rPr>
                <w:rFonts w:hint="eastAsia" w:ascii="宋体" w:hAnsi="宋体" w:eastAsia="宋体" w:cs="宋体"/>
                <w:szCs w:val="21"/>
                <w:lang w:val="en-US" w:eastAsia="zh-CN"/>
              </w:rPr>
              <w:t>3</w:t>
            </w:r>
          </w:p>
        </w:tc>
        <w:tc>
          <w:tcPr>
            <w:tcW w:w="2583" w:type="dxa"/>
            <w:tcBorders>
              <w:top w:val="single" w:color="auto" w:sz="4" w:space="0"/>
              <w:left w:val="single" w:color="auto" w:sz="4" w:space="0"/>
              <w:bottom w:val="single" w:color="auto" w:sz="4" w:space="0"/>
              <w:right w:val="single" w:color="auto" w:sz="4" w:space="0"/>
            </w:tcBorders>
            <w:vAlign w:val="center"/>
          </w:tcPr>
          <w:p w14:paraId="6065E335">
            <w:pPr>
              <w:spacing w:line="360" w:lineRule="exact"/>
              <w:jc w:val="center"/>
              <w:rPr>
                <w:rFonts w:hint="eastAsia" w:ascii="宋体" w:hAnsi="宋体" w:eastAsia="宋体" w:cs="宋体"/>
                <w:szCs w:val="21"/>
              </w:rPr>
            </w:pPr>
            <w:r>
              <w:rPr>
                <w:rFonts w:hint="eastAsia" w:ascii="宋体" w:hAnsi="宋体" w:eastAsia="宋体" w:cs="宋体"/>
                <w:szCs w:val="21"/>
              </w:rPr>
              <w:t>履约保证金</w:t>
            </w:r>
          </w:p>
        </w:tc>
        <w:tc>
          <w:tcPr>
            <w:tcW w:w="5817" w:type="dxa"/>
            <w:tcBorders>
              <w:top w:val="single" w:color="auto" w:sz="4" w:space="0"/>
              <w:left w:val="single" w:color="auto" w:sz="4" w:space="0"/>
              <w:bottom w:val="single" w:color="auto" w:sz="4" w:space="0"/>
              <w:right w:val="single" w:color="auto" w:sz="4" w:space="0"/>
            </w:tcBorders>
            <w:vAlign w:val="center"/>
          </w:tcPr>
          <w:p w14:paraId="27C9881D">
            <w:pPr>
              <w:adjustRightInd w:val="0"/>
              <w:snapToGrid w:val="0"/>
              <w:spacing w:line="360" w:lineRule="exact"/>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履约保证金</w:t>
            </w:r>
            <w:r>
              <w:rPr>
                <w:rFonts w:hint="eastAsia" w:ascii="宋体" w:hAnsi="宋体" w:eastAsia="宋体" w:cs="宋体"/>
                <w:szCs w:val="21"/>
              </w:rPr>
              <w:t>形式：现金</w:t>
            </w:r>
            <w:r>
              <w:rPr>
                <w:rFonts w:hint="eastAsia" w:ascii="宋体" w:hAnsi="宋体" w:eastAsia="宋体" w:cs="宋体"/>
                <w:szCs w:val="21"/>
                <w:lang w:eastAsia="zh-CN"/>
              </w:rPr>
              <w:t>形式</w:t>
            </w:r>
            <w:r>
              <w:rPr>
                <w:rFonts w:hint="eastAsia" w:ascii="宋体" w:hAnsi="宋体" w:eastAsia="宋体" w:cs="宋体"/>
                <w:szCs w:val="21"/>
                <w:lang w:val="en-US" w:eastAsia="zh-CN"/>
              </w:rPr>
              <w:t>或</w:t>
            </w:r>
            <w:r>
              <w:rPr>
                <w:rFonts w:hint="eastAsia" w:ascii="宋体" w:hAnsi="宋体" w:cs="宋体"/>
                <w:szCs w:val="21"/>
                <w:lang w:val="en-US" w:eastAsia="zh-CN"/>
              </w:rPr>
              <w:t>基本账户银行</w:t>
            </w:r>
            <w:r>
              <w:rPr>
                <w:rFonts w:hint="eastAsia" w:ascii="宋体" w:hAnsi="宋体" w:eastAsia="宋体" w:cs="宋体"/>
                <w:szCs w:val="21"/>
                <w:lang w:val="en-US" w:eastAsia="zh-CN"/>
              </w:rPr>
              <w:t>履约保函</w:t>
            </w:r>
            <w:r>
              <w:rPr>
                <w:rFonts w:hint="eastAsia" w:ascii="宋体" w:hAnsi="宋体" w:eastAsia="宋体" w:cs="宋体"/>
                <w:szCs w:val="21"/>
              </w:rPr>
              <w:t>。</w:t>
            </w:r>
          </w:p>
          <w:p w14:paraId="5DBDB651">
            <w:pPr>
              <w:adjustRightInd w:val="0"/>
              <w:snapToGrid w:val="0"/>
              <w:spacing w:line="360" w:lineRule="exact"/>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 xml:space="preserve"> </w:t>
            </w:r>
            <w:r>
              <w:rPr>
                <w:rFonts w:hint="eastAsia" w:ascii="宋体" w:hAnsi="宋体" w:eastAsia="宋体" w:cs="宋体"/>
                <w:color w:val="0070C0"/>
                <w:szCs w:val="21"/>
                <w:lang w:eastAsia="zh-CN"/>
              </w:rPr>
              <w:t>履约保证金</w:t>
            </w:r>
            <w:r>
              <w:rPr>
                <w:rFonts w:hint="eastAsia" w:ascii="宋体" w:hAnsi="宋体" w:eastAsia="宋体" w:cs="宋体"/>
                <w:color w:val="0070C0"/>
                <w:szCs w:val="21"/>
              </w:rPr>
              <w:t>金额：成交合同金额的</w:t>
            </w:r>
            <w:r>
              <w:rPr>
                <w:rFonts w:hint="eastAsia" w:ascii="宋体" w:hAnsi="宋体" w:cs="宋体"/>
                <w:color w:val="0070C0"/>
                <w:szCs w:val="21"/>
                <w:u w:val="single"/>
                <w:lang w:val="en-US" w:eastAsia="zh-CN"/>
              </w:rPr>
              <w:t>5</w:t>
            </w:r>
            <w:r>
              <w:rPr>
                <w:rFonts w:hint="eastAsia" w:ascii="宋体" w:hAnsi="宋体" w:eastAsia="宋体" w:cs="宋体"/>
                <w:color w:val="0070C0"/>
                <w:szCs w:val="21"/>
              </w:rPr>
              <w:t>%</w:t>
            </w:r>
            <w:r>
              <w:rPr>
                <w:rFonts w:hint="eastAsia" w:ascii="宋体" w:hAnsi="宋体" w:eastAsia="宋体" w:cs="宋体"/>
                <w:szCs w:val="21"/>
              </w:rPr>
              <w:t>。</w:t>
            </w:r>
          </w:p>
          <w:p w14:paraId="71F7A46A">
            <w:pPr>
              <w:adjustRightInd w:val="0"/>
              <w:snapToGrid w:val="0"/>
              <w:spacing w:line="360" w:lineRule="exact"/>
              <w:rPr>
                <w:rFonts w:hint="eastAsia" w:ascii="宋体" w:hAnsi="宋体" w:eastAsia="宋体" w:cs="宋体"/>
                <w:szCs w:val="21"/>
              </w:rPr>
            </w:pPr>
            <w:r>
              <w:rPr>
                <w:rFonts w:hint="eastAsia" w:ascii="宋体" w:hAnsi="宋体" w:eastAsia="宋体" w:cs="宋体"/>
                <w:szCs w:val="21"/>
              </w:rPr>
              <w:t>3. 提交期限：合同签订前，向采购人提交履约</w:t>
            </w:r>
            <w:r>
              <w:rPr>
                <w:rFonts w:hint="eastAsia" w:ascii="宋体" w:hAnsi="宋体" w:eastAsia="宋体" w:cs="宋体"/>
                <w:szCs w:val="21"/>
                <w:lang w:eastAsia="zh-CN"/>
              </w:rPr>
              <w:t>保证金</w:t>
            </w:r>
            <w:r>
              <w:rPr>
                <w:rFonts w:hint="eastAsia" w:ascii="宋体" w:hAnsi="宋体" w:eastAsia="宋体" w:cs="宋体"/>
                <w:szCs w:val="21"/>
              </w:rPr>
              <w:t>。</w:t>
            </w:r>
          </w:p>
          <w:p w14:paraId="22983602">
            <w:pPr>
              <w:pStyle w:val="48"/>
              <w:spacing w:line="360" w:lineRule="exact"/>
              <w:ind w:firstLine="0" w:firstLineChars="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 退还时间：</w:t>
            </w:r>
            <w:r>
              <w:rPr>
                <w:rFonts w:hint="eastAsia" w:ascii="宋体" w:hAnsi="宋体" w:cs="宋体"/>
                <w:color w:val="auto"/>
                <w:kern w:val="2"/>
                <w:sz w:val="21"/>
                <w:szCs w:val="21"/>
                <w:lang w:val="en-US" w:eastAsia="zh-CN" w:bidi="ar-SA"/>
              </w:rPr>
              <w:t>货到现场验收合格后</w:t>
            </w:r>
            <w:r>
              <w:rPr>
                <w:rFonts w:hint="eastAsia" w:ascii="宋体" w:hAnsi="宋体" w:eastAsia="宋体" w:cs="宋体"/>
                <w:color w:val="auto"/>
                <w:kern w:val="2"/>
                <w:sz w:val="21"/>
                <w:szCs w:val="21"/>
                <w:lang w:val="en-US" w:eastAsia="zh-CN" w:bidi="ar-SA"/>
              </w:rPr>
              <w:t xml:space="preserve"> </w:t>
            </w:r>
            <w:r>
              <w:rPr>
                <w:rFonts w:hint="eastAsia" w:ascii="宋体" w:hAnsi="宋体" w:cs="宋体"/>
                <w:color w:val="auto"/>
                <w:kern w:val="2"/>
                <w:sz w:val="21"/>
                <w:szCs w:val="21"/>
                <w:lang w:val="en-US" w:eastAsia="zh-CN" w:bidi="ar-SA"/>
              </w:rPr>
              <w:t>30</w:t>
            </w:r>
            <w:r>
              <w:rPr>
                <w:rFonts w:hint="eastAsia" w:ascii="宋体" w:hAnsi="宋体" w:eastAsia="宋体" w:cs="宋体"/>
                <w:color w:val="auto"/>
                <w:kern w:val="2"/>
                <w:sz w:val="21"/>
                <w:szCs w:val="21"/>
                <w:lang w:val="en-US" w:eastAsia="zh-CN" w:bidi="ar-SA"/>
              </w:rPr>
              <w:t>个工作日内无息退还。</w:t>
            </w:r>
          </w:p>
        </w:tc>
      </w:tr>
      <w:tr w14:paraId="3E179F79">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41130A15">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8.1</w:t>
            </w:r>
          </w:p>
        </w:tc>
        <w:tc>
          <w:tcPr>
            <w:tcW w:w="2583" w:type="dxa"/>
            <w:tcBorders>
              <w:top w:val="single" w:color="auto" w:sz="4" w:space="0"/>
              <w:left w:val="single" w:color="auto" w:sz="4" w:space="0"/>
              <w:bottom w:val="single" w:color="auto" w:sz="4" w:space="0"/>
              <w:right w:val="single" w:color="auto" w:sz="4" w:space="0"/>
            </w:tcBorders>
            <w:vAlign w:val="center"/>
          </w:tcPr>
          <w:p w14:paraId="2A11CBAE">
            <w:pPr>
              <w:spacing w:line="360" w:lineRule="exact"/>
              <w:jc w:val="center"/>
              <w:rPr>
                <w:rFonts w:hint="eastAsia" w:ascii="宋体" w:hAnsi="宋体" w:eastAsia="宋体" w:cs="宋体"/>
                <w:szCs w:val="21"/>
                <w:lang w:eastAsia="zh-CN"/>
              </w:rPr>
            </w:pPr>
            <w:r>
              <w:rPr>
                <w:rFonts w:hint="eastAsia" w:ascii="宋体" w:hAnsi="宋体" w:eastAsia="宋体" w:cs="宋体"/>
                <w:szCs w:val="21"/>
              </w:rPr>
              <w:t>是否采用电子</w:t>
            </w:r>
            <w:r>
              <w:rPr>
                <w:rFonts w:hint="eastAsia" w:ascii="宋体" w:hAnsi="宋体" w:eastAsia="宋体" w:cs="宋体"/>
                <w:szCs w:val="21"/>
                <w:lang w:eastAsia="zh-CN"/>
              </w:rPr>
              <w:t>谈判</w:t>
            </w:r>
          </w:p>
        </w:tc>
        <w:tc>
          <w:tcPr>
            <w:tcW w:w="5817" w:type="dxa"/>
            <w:tcBorders>
              <w:top w:val="single" w:color="auto" w:sz="4" w:space="0"/>
              <w:left w:val="single" w:color="auto" w:sz="4" w:space="0"/>
              <w:bottom w:val="single" w:color="auto" w:sz="4" w:space="0"/>
              <w:right w:val="single" w:color="auto" w:sz="4" w:space="0"/>
            </w:tcBorders>
            <w:vAlign w:val="center"/>
          </w:tcPr>
          <w:p w14:paraId="453997F8">
            <w:pPr>
              <w:spacing w:line="360" w:lineRule="exact"/>
              <w:rPr>
                <w:rFonts w:hint="eastAsia" w:ascii="宋体" w:hAnsi="宋体" w:eastAsia="宋体" w:cs="宋体"/>
                <w:szCs w:val="21"/>
              </w:rPr>
            </w:pPr>
            <w:r>
              <w:rPr>
                <w:rFonts w:hint="eastAsia" w:ascii="宋体" w:hAnsi="宋体" w:eastAsia="宋体" w:cs="宋体"/>
                <w:szCs w:val="21"/>
              </w:rPr>
              <w:t>☑否</w:t>
            </w:r>
          </w:p>
          <w:p w14:paraId="4937793B">
            <w:pPr>
              <w:spacing w:line="360" w:lineRule="exact"/>
              <w:rPr>
                <w:rFonts w:hint="eastAsia" w:ascii="宋体" w:hAnsi="宋体" w:eastAsia="宋体" w:cs="宋体"/>
                <w:szCs w:val="21"/>
              </w:rPr>
            </w:pPr>
            <w:r>
              <w:rPr>
                <w:rFonts w:hint="eastAsia" w:ascii="宋体" w:hAnsi="宋体" w:eastAsia="宋体" w:cs="宋体"/>
                <w:szCs w:val="21"/>
              </w:rPr>
              <w:t>□是，具体要求：</w:t>
            </w:r>
          </w:p>
        </w:tc>
      </w:tr>
      <w:tr w14:paraId="49E5B671">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716067B2">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9.1</w:t>
            </w:r>
          </w:p>
        </w:tc>
        <w:tc>
          <w:tcPr>
            <w:tcW w:w="2583" w:type="dxa"/>
            <w:tcBorders>
              <w:top w:val="single" w:color="auto" w:sz="4" w:space="0"/>
              <w:left w:val="single" w:color="auto" w:sz="4" w:space="0"/>
              <w:bottom w:val="single" w:color="auto" w:sz="4" w:space="0"/>
              <w:right w:val="single" w:color="auto" w:sz="4" w:space="0"/>
            </w:tcBorders>
            <w:vAlign w:val="center"/>
          </w:tcPr>
          <w:p w14:paraId="76CF8A22">
            <w:pPr>
              <w:adjustRightInd w:val="0"/>
              <w:snapToGrid w:val="0"/>
              <w:spacing w:line="360" w:lineRule="exact"/>
              <w:jc w:val="center"/>
              <w:rPr>
                <w:rFonts w:hint="eastAsia" w:ascii="宋体" w:hAnsi="宋体" w:eastAsia="宋体" w:cs="宋体"/>
                <w:szCs w:val="21"/>
                <w:lang w:eastAsia="zh-CN"/>
              </w:rPr>
            </w:pPr>
            <w:r>
              <w:rPr>
                <w:rFonts w:hint="eastAsia" w:ascii="宋体" w:hAnsi="宋体" w:eastAsia="宋体" w:cs="宋体"/>
                <w:kern w:val="0"/>
                <w:szCs w:val="21"/>
              </w:rPr>
              <w:t>重新</w:t>
            </w:r>
            <w:r>
              <w:rPr>
                <w:rFonts w:hint="eastAsia" w:ascii="宋体" w:hAnsi="宋体" w:eastAsia="宋体" w:cs="宋体"/>
                <w:kern w:val="0"/>
                <w:szCs w:val="21"/>
                <w:lang w:eastAsia="zh-CN"/>
              </w:rPr>
              <w:t>谈判</w:t>
            </w:r>
          </w:p>
        </w:tc>
        <w:tc>
          <w:tcPr>
            <w:tcW w:w="5817" w:type="dxa"/>
            <w:tcBorders>
              <w:top w:val="single" w:color="auto" w:sz="4" w:space="0"/>
              <w:left w:val="single" w:color="auto" w:sz="4" w:space="0"/>
              <w:bottom w:val="single" w:color="auto" w:sz="4" w:space="0"/>
              <w:right w:val="single" w:color="auto" w:sz="4" w:space="0"/>
            </w:tcBorders>
            <w:vAlign w:val="center"/>
          </w:tcPr>
          <w:p w14:paraId="0729E269">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rPr>
              <w:t>有下列情形之一的，采购人</w:t>
            </w:r>
            <w:r>
              <w:rPr>
                <w:rFonts w:hint="eastAsia" w:ascii="宋体" w:hAnsi="宋体" w:eastAsia="宋体" w:cs="宋体"/>
                <w:b/>
                <w:kern w:val="0"/>
                <w:szCs w:val="21"/>
              </w:rPr>
              <w:t>将重新</w:t>
            </w:r>
            <w:r>
              <w:rPr>
                <w:rFonts w:hint="eastAsia" w:ascii="宋体" w:hAnsi="宋体" w:eastAsia="宋体" w:cs="宋体"/>
                <w:b/>
                <w:kern w:val="0"/>
                <w:szCs w:val="21"/>
                <w:lang w:eastAsia="zh-CN"/>
              </w:rPr>
              <w:t>谈判</w:t>
            </w:r>
            <w:r>
              <w:rPr>
                <w:rFonts w:hint="eastAsia" w:ascii="宋体" w:hAnsi="宋体" w:eastAsia="宋体" w:cs="宋体"/>
                <w:b/>
                <w:kern w:val="0"/>
                <w:szCs w:val="21"/>
              </w:rPr>
              <w:t>：</w:t>
            </w:r>
          </w:p>
          <w:p w14:paraId="78931CE9">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rPr>
              <w:t>1、</w:t>
            </w:r>
            <w:r>
              <w:rPr>
                <w:rFonts w:hint="eastAsia" w:ascii="宋体" w:hAnsi="宋体" w:eastAsia="宋体" w:cs="宋体"/>
                <w:bCs/>
                <w:kern w:val="0"/>
                <w:szCs w:val="21"/>
                <w:lang w:eastAsia="zh-CN"/>
              </w:rPr>
              <w:t>谈判</w:t>
            </w:r>
            <w:r>
              <w:rPr>
                <w:rFonts w:hint="eastAsia" w:ascii="宋体" w:hAnsi="宋体" w:eastAsia="宋体" w:cs="宋体"/>
                <w:bCs/>
                <w:kern w:val="0"/>
                <w:szCs w:val="21"/>
              </w:rPr>
              <w:t>截止时间止，供应商少于3家；</w:t>
            </w:r>
          </w:p>
          <w:p w14:paraId="732AF32B">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kern w:val="0"/>
                <w:szCs w:val="21"/>
              </w:rPr>
              <w:t>2、经评审小组评审后否决所有供应商的；</w:t>
            </w:r>
          </w:p>
          <w:p w14:paraId="0AC5146F">
            <w:pPr>
              <w:adjustRightInd w:val="0"/>
              <w:snapToGrid w:val="0"/>
              <w:spacing w:line="360" w:lineRule="exact"/>
              <w:rPr>
                <w:rFonts w:hint="eastAsia" w:ascii="宋体" w:hAnsi="宋体" w:eastAsia="宋体" w:cs="宋体"/>
                <w:szCs w:val="21"/>
              </w:rPr>
            </w:pPr>
            <w:r>
              <w:rPr>
                <w:rFonts w:hint="eastAsia" w:ascii="宋体" w:hAnsi="宋体" w:eastAsia="宋体" w:cs="宋体"/>
                <w:bCs/>
                <w:kern w:val="0"/>
                <w:szCs w:val="21"/>
              </w:rPr>
              <w:t>3、经过评审小组评审后，如合格的供应商少于三个，经评审小组评定剩余合格供应商仍具有有效竞争的，评审小组应继续进行评审，并按</w:t>
            </w:r>
            <w:r>
              <w:rPr>
                <w:rFonts w:hint="eastAsia" w:ascii="宋体" w:hAnsi="宋体" w:eastAsia="宋体" w:cs="宋体"/>
                <w:bCs/>
                <w:kern w:val="0"/>
                <w:szCs w:val="21"/>
                <w:lang w:eastAsia="zh-CN"/>
              </w:rPr>
              <w:t>响应文件</w:t>
            </w:r>
            <w:r>
              <w:rPr>
                <w:rFonts w:hint="eastAsia" w:ascii="宋体" w:hAnsi="宋体" w:eastAsia="宋体" w:cs="宋体"/>
                <w:bCs/>
                <w:kern w:val="0"/>
                <w:szCs w:val="21"/>
              </w:rPr>
              <w:t>规定推荐成交候选人，否则，采购人将重新</w:t>
            </w:r>
            <w:r>
              <w:rPr>
                <w:rFonts w:hint="eastAsia" w:ascii="宋体" w:hAnsi="宋体" w:eastAsia="宋体" w:cs="宋体"/>
                <w:bCs/>
                <w:kern w:val="0"/>
                <w:szCs w:val="21"/>
                <w:lang w:eastAsia="zh-CN"/>
              </w:rPr>
              <w:t>谈判</w:t>
            </w:r>
            <w:r>
              <w:rPr>
                <w:rFonts w:hint="eastAsia" w:ascii="宋体" w:hAnsi="宋体" w:eastAsia="宋体" w:cs="宋体"/>
                <w:bCs/>
                <w:kern w:val="0"/>
                <w:szCs w:val="21"/>
              </w:rPr>
              <w:t>。</w:t>
            </w:r>
          </w:p>
        </w:tc>
      </w:tr>
      <w:tr w14:paraId="17798BD9">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7AB69AE6">
            <w:pPr>
              <w:adjustRightInd w:val="0"/>
              <w:snapToGrid w:val="0"/>
              <w:spacing w:line="360" w:lineRule="exact"/>
              <w:jc w:val="center"/>
              <w:rPr>
                <w:rFonts w:hint="eastAsia" w:ascii="宋体" w:hAnsi="宋体" w:eastAsia="宋体" w:cs="宋体"/>
                <w:szCs w:val="21"/>
                <w:lang w:val="en-US" w:eastAsia="zh-CN"/>
              </w:rPr>
            </w:pPr>
            <w:r>
              <w:rPr>
                <w:rFonts w:hint="eastAsia" w:ascii="宋体" w:hAnsi="宋体" w:eastAsia="宋体" w:cs="宋体"/>
                <w:kern w:val="0"/>
                <w:szCs w:val="21"/>
                <w:lang w:val="en-US" w:eastAsia="zh-CN"/>
              </w:rPr>
              <w:t>9</w:t>
            </w:r>
            <w:r>
              <w:rPr>
                <w:rFonts w:hint="eastAsia" w:ascii="宋体" w:hAnsi="宋体" w:eastAsia="宋体" w:cs="宋体"/>
                <w:kern w:val="0"/>
                <w:szCs w:val="21"/>
              </w:rPr>
              <w:t>.</w:t>
            </w:r>
            <w:r>
              <w:rPr>
                <w:rFonts w:hint="eastAsia" w:ascii="宋体" w:hAnsi="宋体" w:eastAsia="宋体" w:cs="宋体"/>
                <w:kern w:val="0"/>
                <w:szCs w:val="21"/>
                <w:lang w:val="en-US" w:eastAsia="zh-CN"/>
              </w:rPr>
              <w:t>2</w:t>
            </w:r>
          </w:p>
        </w:tc>
        <w:tc>
          <w:tcPr>
            <w:tcW w:w="2583" w:type="dxa"/>
            <w:tcBorders>
              <w:top w:val="single" w:color="auto" w:sz="4" w:space="0"/>
              <w:left w:val="single" w:color="auto" w:sz="4" w:space="0"/>
              <w:bottom w:val="single" w:color="auto" w:sz="4" w:space="0"/>
              <w:right w:val="single" w:color="auto" w:sz="4" w:space="0"/>
            </w:tcBorders>
            <w:vAlign w:val="center"/>
          </w:tcPr>
          <w:p w14:paraId="77FFBB5E">
            <w:pPr>
              <w:adjustRightInd w:val="0"/>
              <w:snapToGrid w:val="0"/>
              <w:spacing w:line="360" w:lineRule="exact"/>
              <w:jc w:val="center"/>
              <w:rPr>
                <w:rFonts w:hint="eastAsia" w:ascii="宋体" w:hAnsi="宋体" w:eastAsia="宋体" w:cs="宋体"/>
                <w:kern w:val="0"/>
                <w:szCs w:val="21"/>
                <w:lang w:eastAsia="zh-CN"/>
              </w:rPr>
            </w:pPr>
            <w:r>
              <w:rPr>
                <w:rFonts w:hint="eastAsia" w:ascii="宋体" w:hAnsi="宋体" w:eastAsia="宋体" w:cs="宋体"/>
                <w:kern w:val="0"/>
                <w:szCs w:val="21"/>
              </w:rPr>
              <w:t>二次</w:t>
            </w:r>
            <w:r>
              <w:rPr>
                <w:rFonts w:hint="eastAsia" w:ascii="宋体" w:hAnsi="宋体" w:eastAsia="宋体" w:cs="宋体"/>
                <w:kern w:val="0"/>
                <w:szCs w:val="21"/>
                <w:lang w:eastAsia="zh-CN"/>
              </w:rPr>
              <w:t>谈判</w:t>
            </w:r>
            <w:r>
              <w:rPr>
                <w:rFonts w:hint="eastAsia" w:ascii="宋体" w:hAnsi="宋体" w:eastAsia="宋体" w:cs="宋体"/>
                <w:kern w:val="0"/>
                <w:szCs w:val="21"/>
              </w:rPr>
              <w:t>和不再</w:t>
            </w:r>
            <w:r>
              <w:rPr>
                <w:rFonts w:hint="eastAsia" w:ascii="宋体" w:hAnsi="宋体" w:eastAsia="宋体" w:cs="宋体"/>
                <w:kern w:val="0"/>
                <w:szCs w:val="21"/>
                <w:lang w:eastAsia="zh-CN"/>
              </w:rPr>
              <w:t>谈判</w:t>
            </w:r>
          </w:p>
        </w:tc>
        <w:tc>
          <w:tcPr>
            <w:tcW w:w="5817" w:type="dxa"/>
            <w:tcBorders>
              <w:top w:val="single" w:color="auto" w:sz="4" w:space="0"/>
              <w:left w:val="single" w:color="auto" w:sz="4" w:space="0"/>
              <w:bottom w:val="single" w:color="auto" w:sz="4" w:space="0"/>
              <w:right w:val="single" w:color="auto" w:sz="4" w:space="0"/>
            </w:tcBorders>
            <w:vAlign w:val="center"/>
          </w:tcPr>
          <w:p w14:paraId="0D580185">
            <w:pPr>
              <w:adjustRightInd w:val="0"/>
              <w:snapToGrid w:val="0"/>
              <w:spacing w:line="360" w:lineRule="exact"/>
              <w:rPr>
                <w:rFonts w:hint="eastAsia" w:ascii="宋体" w:hAnsi="宋体" w:eastAsia="宋体" w:cs="宋体"/>
                <w:bCs/>
                <w:kern w:val="0"/>
                <w:szCs w:val="21"/>
              </w:rPr>
            </w:pPr>
            <w:r>
              <w:rPr>
                <w:rFonts w:hint="eastAsia" w:ascii="宋体" w:hAnsi="宋体" w:eastAsia="宋体" w:cs="宋体"/>
                <w:bCs/>
                <w:szCs w:val="21"/>
              </w:rPr>
              <w:t>重新</w:t>
            </w:r>
            <w:r>
              <w:rPr>
                <w:rFonts w:hint="eastAsia" w:ascii="宋体" w:hAnsi="宋体" w:eastAsia="宋体" w:cs="宋体"/>
                <w:bCs/>
                <w:szCs w:val="21"/>
                <w:lang w:eastAsia="zh-CN"/>
              </w:rPr>
              <w:t>谈判</w:t>
            </w:r>
            <w:r>
              <w:rPr>
                <w:rFonts w:hint="eastAsia" w:ascii="宋体" w:hAnsi="宋体" w:eastAsia="宋体" w:cs="宋体"/>
                <w:bCs/>
                <w:szCs w:val="21"/>
              </w:rPr>
              <w:t>后供应商仍少于3个，按法定程序</w:t>
            </w:r>
            <w:r>
              <w:rPr>
                <w:rFonts w:hint="eastAsia" w:ascii="宋体" w:hAnsi="宋体" w:eastAsia="宋体" w:cs="宋体"/>
                <w:bCs/>
                <w:szCs w:val="21"/>
                <w:lang w:eastAsia="zh-CN"/>
              </w:rPr>
              <w:t>谈判</w:t>
            </w:r>
            <w:r>
              <w:rPr>
                <w:rFonts w:hint="eastAsia" w:ascii="宋体" w:hAnsi="宋体" w:eastAsia="宋体" w:cs="宋体"/>
                <w:bCs/>
                <w:szCs w:val="21"/>
              </w:rPr>
              <w:t>和评审，确定成交供应商。经评审无合格供应商，经批准后不再进行</w:t>
            </w:r>
            <w:r>
              <w:rPr>
                <w:rFonts w:hint="eastAsia" w:ascii="宋体" w:hAnsi="宋体" w:eastAsia="宋体" w:cs="宋体"/>
                <w:bCs/>
                <w:szCs w:val="21"/>
                <w:lang w:eastAsia="zh-CN"/>
              </w:rPr>
              <w:t>谈判</w:t>
            </w:r>
            <w:r>
              <w:rPr>
                <w:rFonts w:hint="eastAsia" w:ascii="宋体" w:hAnsi="宋体" w:eastAsia="宋体" w:cs="宋体"/>
                <w:bCs/>
                <w:szCs w:val="21"/>
              </w:rPr>
              <w:t>。</w:t>
            </w:r>
          </w:p>
        </w:tc>
      </w:tr>
      <w:tr w14:paraId="01D30889">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04583AC0">
            <w:pPr>
              <w:spacing w:line="360" w:lineRule="exact"/>
              <w:jc w:val="center"/>
              <w:rPr>
                <w:rFonts w:hint="eastAsia" w:ascii="宋体" w:hAnsi="宋体" w:eastAsia="宋体" w:cs="宋体"/>
                <w:szCs w:val="21"/>
              </w:rPr>
            </w:pPr>
            <w:r>
              <w:rPr>
                <w:rFonts w:hint="eastAsia" w:ascii="宋体" w:hAnsi="宋体" w:eastAsia="宋体" w:cs="宋体"/>
                <w:szCs w:val="21"/>
              </w:rPr>
              <w:t>10</w:t>
            </w:r>
          </w:p>
        </w:tc>
        <w:tc>
          <w:tcPr>
            <w:tcW w:w="8400" w:type="dxa"/>
            <w:gridSpan w:val="2"/>
            <w:tcBorders>
              <w:top w:val="single" w:color="auto" w:sz="4" w:space="0"/>
              <w:left w:val="single" w:color="auto" w:sz="4" w:space="0"/>
              <w:bottom w:val="single" w:color="auto" w:sz="4" w:space="0"/>
              <w:right w:val="single" w:color="auto" w:sz="4" w:space="0"/>
            </w:tcBorders>
            <w:vAlign w:val="center"/>
          </w:tcPr>
          <w:p w14:paraId="2E6C21E2">
            <w:pPr>
              <w:spacing w:line="360" w:lineRule="exact"/>
              <w:jc w:val="center"/>
              <w:rPr>
                <w:rFonts w:hint="eastAsia" w:ascii="宋体" w:hAnsi="宋体" w:eastAsia="宋体" w:cs="宋体"/>
                <w:szCs w:val="21"/>
              </w:rPr>
            </w:pPr>
            <w:r>
              <w:rPr>
                <w:rFonts w:hint="eastAsia" w:ascii="宋体" w:hAnsi="宋体" w:eastAsia="宋体" w:cs="宋体"/>
                <w:szCs w:val="21"/>
              </w:rPr>
              <w:t>需要补充的其他内容</w:t>
            </w:r>
          </w:p>
        </w:tc>
      </w:tr>
      <w:tr w14:paraId="691A407D">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5F40D246">
            <w:pPr>
              <w:spacing w:line="360" w:lineRule="exact"/>
              <w:ind w:right="84" w:rightChars="40"/>
              <w:jc w:val="center"/>
              <w:rPr>
                <w:rFonts w:hint="eastAsia" w:ascii="宋体" w:hAnsi="宋体" w:eastAsia="宋体" w:cs="宋体"/>
                <w:szCs w:val="21"/>
                <w:lang w:eastAsia="zh-CN"/>
              </w:rPr>
            </w:pPr>
            <w:r>
              <w:rPr>
                <w:rFonts w:hint="eastAsia" w:ascii="宋体" w:hAnsi="宋体" w:eastAsia="宋体" w:cs="宋体"/>
                <w:szCs w:val="21"/>
              </w:rPr>
              <w:t>10.</w:t>
            </w:r>
            <w:r>
              <w:rPr>
                <w:rFonts w:hint="eastAsia" w:ascii="宋体" w:hAnsi="宋体" w:cs="宋体"/>
                <w:szCs w:val="21"/>
                <w:lang w:val="en-US" w:eastAsia="zh-CN"/>
              </w:rPr>
              <w:t>1</w:t>
            </w:r>
          </w:p>
        </w:tc>
        <w:tc>
          <w:tcPr>
            <w:tcW w:w="2583" w:type="dxa"/>
            <w:tcBorders>
              <w:top w:val="single" w:color="auto" w:sz="4" w:space="0"/>
              <w:left w:val="single" w:color="auto" w:sz="4" w:space="0"/>
              <w:bottom w:val="single" w:color="auto" w:sz="4" w:space="0"/>
              <w:right w:val="single" w:color="auto" w:sz="4" w:space="0"/>
            </w:tcBorders>
            <w:vAlign w:val="center"/>
          </w:tcPr>
          <w:p w14:paraId="465D9EED">
            <w:pPr>
              <w:widowControl/>
              <w:adjustRightInd w:val="0"/>
              <w:snapToGrid w:val="0"/>
              <w:spacing w:line="360" w:lineRule="exact"/>
              <w:jc w:val="center"/>
              <w:rPr>
                <w:rFonts w:hint="eastAsia" w:ascii="宋体" w:hAnsi="宋体" w:eastAsia="宋体" w:cs="宋体"/>
                <w:color w:val="0070C0"/>
                <w:szCs w:val="21"/>
                <w:lang w:eastAsia="zh-CN"/>
              </w:rPr>
            </w:pPr>
            <w:r>
              <w:rPr>
                <w:rFonts w:hint="eastAsia" w:ascii="宋体" w:hAnsi="宋体" w:cs="宋体"/>
                <w:kern w:val="0"/>
                <w:szCs w:val="21"/>
                <w:lang w:val="en-US" w:eastAsia="zh-CN"/>
              </w:rPr>
              <w:t>成交</w:t>
            </w:r>
          </w:p>
        </w:tc>
        <w:tc>
          <w:tcPr>
            <w:tcW w:w="5817" w:type="dxa"/>
            <w:tcBorders>
              <w:top w:val="single" w:color="auto" w:sz="4" w:space="0"/>
              <w:left w:val="single" w:color="auto" w:sz="4" w:space="0"/>
              <w:bottom w:val="single" w:color="auto" w:sz="4" w:space="0"/>
              <w:right w:val="single" w:color="auto" w:sz="4" w:space="0"/>
            </w:tcBorders>
            <w:vAlign w:val="center"/>
          </w:tcPr>
          <w:p w14:paraId="3C15F7CA">
            <w:pPr>
              <w:widowControl/>
              <w:spacing w:line="360" w:lineRule="exact"/>
              <w:ind w:firstLine="420" w:firstLineChars="200"/>
              <w:jc w:val="left"/>
              <w:rPr>
                <w:rFonts w:hint="eastAsia" w:ascii="宋体" w:hAnsi="宋体" w:eastAsia="宋体" w:cs="宋体"/>
                <w:color w:val="0070C0"/>
                <w:kern w:val="0"/>
                <w:szCs w:val="21"/>
              </w:rPr>
            </w:pPr>
            <w:r>
              <w:rPr>
                <w:rFonts w:hint="eastAsia" w:ascii="宋体" w:hAnsi="宋体" w:eastAsia="宋体" w:cs="宋体"/>
                <w:kern w:val="0"/>
                <w:szCs w:val="21"/>
              </w:rPr>
              <w:t>经评审小组评审并推荐出成交供应商，</w:t>
            </w:r>
            <w:r>
              <w:rPr>
                <w:rFonts w:hint="eastAsia" w:ascii="宋体" w:hAnsi="宋体" w:cs="宋体"/>
                <w:kern w:val="0"/>
                <w:szCs w:val="21"/>
                <w:lang w:eastAsia="zh-CN"/>
              </w:rPr>
              <w:t>招标采购委员会</w:t>
            </w:r>
            <w:r>
              <w:rPr>
                <w:rFonts w:hint="eastAsia" w:ascii="宋体" w:hAnsi="宋体" w:eastAsia="宋体" w:cs="宋体"/>
                <w:kern w:val="0"/>
                <w:szCs w:val="21"/>
                <w:lang w:val="en-US" w:eastAsia="zh-CN"/>
              </w:rPr>
              <w:t>确认</w:t>
            </w:r>
            <w:r>
              <w:rPr>
                <w:rFonts w:hint="eastAsia" w:ascii="宋体" w:hAnsi="宋体" w:cs="宋体"/>
                <w:kern w:val="0"/>
                <w:szCs w:val="21"/>
                <w:lang w:val="en-US" w:eastAsia="zh-CN"/>
              </w:rPr>
              <w:t>定标</w:t>
            </w:r>
            <w:r>
              <w:rPr>
                <w:rFonts w:hint="eastAsia" w:ascii="宋体" w:hAnsi="宋体" w:eastAsia="宋体" w:cs="宋体"/>
                <w:kern w:val="0"/>
                <w:szCs w:val="21"/>
              </w:rPr>
              <w:t>后，将按规定发出</w:t>
            </w:r>
            <w:r>
              <w:rPr>
                <w:rFonts w:hint="eastAsia" w:ascii="宋体" w:hAnsi="宋体" w:cs="宋体"/>
                <w:kern w:val="0"/>
                <w:szCs w:val="21"/>
                <w:lang w:val="en-US" w:eastAsia="zh-CN"/>
              </w:rPr>
              <w:t>成交</w:t>
            </w:r>
            <w:r>
              <w:rPr>
                <w:rFonts w:hint="eastAsia" w:ascii="宋体" w:hAnsi="宋体" w:eastAsia="宋体" w:cs="宋体"/>
                <w:kern w:val="0"/>
                <w:szCs w:val="21"/>
              </w:rPr>
              <w:t>通知书。</w:t>
            </w:r>
          </w:p>
        </w:tc>
      </w:tr>
      <w:tr w14:paraId="3DED4344">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06C9E08E">
            <w:pPr>
              <w:snapToGrid w:val="0"/>
              <w:spacing w:line="360" w:lineRule="exact"/>
              <w:ind w:right="84" w:rightChars="40"/>
              <w:jc w:val="center"/>
              <w:rPr>
                <w:rFonts w:hint="eastAsia" w:ascii="宋体" w:hAnsi="宋体" w:eastAsia="宋体" w:cs="宋体"/>
                <w:szCs w:val="21"/>
                <w:lang w:eastAsia="zh-CN"/>
              </w:rPr>
            </w:pPr>
            <w:r>
              <w:rPr>
                <w:rFonts w:hint="eastAsia" w:ascii="宋体" w:hAnsi="宋体" w:eastAsia="宋体" w:cs="宋体"/>
                <w:szCs w:val="21"/>
              </w:rPr>
              <w:t>10.</w:t>
            </w:r>
            <w:r>
              <w:rPr>
                <w:rFonts w:hint="eastAsia" w:ascii="宋体" w:hAnsi="宋体" w:cs="宋体"/>
                <w:szCs w:val="21"/>
                <w:lang w:val="en-US" w:eastAsia="zh-CN"/>
              </w:rPr>
              <w:t>2</w:t>
            </w:r>
          </w:p>
        </w:tc>
        <w:tc>
          <w:tcPr>
            <w:tcW w:w="2583" w:type="dxa"/>
            <w:tcBorders>
              <w:top w:val="single" w:color="auto" w:sz="4" w:space="0"/>
              <w:left w:val="single" w:color="auto" w:sz="4" w:space="0"/>
              <w:bottom w:val="single" w:color="auto" w:sz="4" w:space="0"/>
              <w:right w:val="single" w:color="auto" w:sz="4" w:space="0"/>
            </w:tcBorders>
            <w:vAlign w:val="center"/>
          </w:tcPr>
          <w:p w14:paraId="19482CE4">
            <w:pPr>
              <w:snapToGrid w:val="0"/>
              <w:spacing w:line="360" w:lineRule="exact"/>
              <w:jc w:val="center"/>
              <w:rPr>
                <w:rFonts w:hint="eastAsia" w:ascii="宋体" w:hAnsi="宋体" w:eastAsia="宋体" w:cs="宋体"/>
                <w:kern w:val="0"/>
                <w:szCs w:val="21"/>
              </w:rPr>
            </w:pPr>
            <w:r>
              <w:rPr>
                <w:rFonts w:hint="eastAsia" w:ascii="宋体" w:hAnsi="宋体" w:eastAsia="宋体" w:cs="宋体"/>
                <w:b/>
                <w:kern w:val="0"/>
                <w:szCs w:val="21"/>
              </w:rPr>
              <w:t>投诉处理</w:t>
            </w:r>
          </w:p>
        </w:tc>
        <w:tc>
          <w:tcPr>
            <w:tcW w:w="5817" w:type="dxa"/>
            <w:tcBorders>
              <w:top w:val="single" w:color="auto" w:sz="4" w:space="0"/>
              <w:left w:val="single" w:color="auto" w:sz="4" w:space="0"/>
              <w:bottom w:val="single" w:color="auto" w:sz="4" w:space="0"/>
              <w:right w:val="single" w:color="auto" w:sz="4" w:space="0"/>
            </w:tcBorders>
            <w:vAlign w:val="center"/>
          </w:tcPr>
          <w:p w14:paraId="36BDBBC6">
            <w:pPr>
              <w:snapToGrid w:val="0"/>
              <w:spacing w:line="360" w:lineRule="exact"/>
              <w:rPr>
                <w:rFonts w:hint="eastAsia" w:ascii="宋体" w:hAnsi="宋体" w:eastAsia="宋体" w:cs="宋体"/>
                <w:szCs w:val="21"/>
              </w:rPr>
            </w:pPr>
            <w:r>
              <w:rPr>
                <w:rFonts w:hint="eastAsia" w:ascii="宋体" w:hAnsi="宋体" w:eastAsia="宋体" w:cs="宋体"/>
                <w:szCs w:val="21"/>
              </w:rPr>
              <w:t>1. 供应商或者其他利害关系人就本项目的评审结果等事项提出异议或投诉的，应当先向采购人提出异议；采购人应当在规定时间内答复；对采购人的答复不满意，可向监督部门投诉。</w:t>
            </w:r>
          </w:p>
          <w:p w14:paraId="1C8573FB">
            <w:pPr>
              <w:snapToGrid w:val="0"/>
              <w:spacing w:line="360" w:lineRule="exact"/>
              <w:rPr>
                <w:rFonts w:hint="eastAsia" w:ascii="宋体" w:hAnsi="宋体" w:eastAsia="宋体" w:cs="宋体"/>
                <w:szCs w:val="21"/>
              </w:rPr>
            </w:pPr>
            <w:r>
              <w:rPr>
                <w:rFonts w:hint="eastAsia" w:ascii="宋体" w:hAnsi="宋体" w:eastAsia="宋体" w:cs="宋体"/>
                <w:szCs w:val="21"/>
              </w:rPr>
              <w:t>2. 监督部门依照《中华人民共和国招标投标法》、《中华人民共和国招标投标法实施条例》、《工程建设项目招标投标活动投诉处理办法》（七部委令第11号（根据九部门2013年第23号令修正））等法律法规文件处理投诉。</w:t>
            </w:r>
          </w:p>
          <w:p w14:paraId="7AB51920">
            <w:pPr>
              <w:snapToGrid w:val="0"/>
              <w:spacing w:line="360" w:lineRule="exact"/>
              <w:rPr>
                <w:rFonts w:hint="eastAsia" w:ascii="宋体" w:hAnsi="宋体" w:eastAsia="宋体" w:cs="宋体"/>
                <w:szCs w:val="21"/>
              </w:rPr>
            </w:pPr>
            <w:r>
              <w:rPr>
                <w:rFonts w:hint="eastAsia" w:ascii="宋体" w:hAnsi="宋体" w:eastAsia="宋体" w:cs="宋体"/>
                <w:szCs w:val="21"/>
              </w:rPr>
              <w:t>3. 供应商捏造事实、伪造材料，或者以非法手段获取证明材料进行质疑或者投诉的，将被列入黑名单管理；给他人造成损失的，依法承担赔偿责任。</w:t>
            </w:r>
          </w:p>
          <w:p w14:paraId="01199EB5">
            <w:pPr>
              <w:snapToGrid w:val="0"/>
              <w:spacing w:line="360" w:lineRule="exact"/>
              <w:rPr>
                <w:rFonts w:hint="eastAsia" w:ascii="宋体" w:hAnsi="宋体" w:eastAsia="宋体" w:cs="宋体"/>
                <w:szCs w:val="21"/>
              </w:rPr>
            </w:pPr>
            <w:r>
              <w:rPr>
                <w:rFonts w:hint="eastAsia" w:ascii="宋体" w:hAnsi="宋体" w:eastAsia="宋体" w:cs="宋体"/>
                <w:szCs w:val="21"/>
              </w:rPr>
              <w:t>投诉受理部门：重庆涪陵聚龙电力有限公司</w:t>
            </w:r>
          </w:p>
          <w:p w14:paraId="3F80CEE9">
            <w:pPr>
              <w:snapToGrid w:val="0"/>
              <w:spacing w:line="360" w:lineRule="exact"/>
              <w:rPr>
                <w:rFonts w:hint="eastAsia" w:ascii="宋体" w:hAnsi="宋体" w:eastAsia="宋体" w:cs="宋体"/>
                <w:szCs w:val="21"/>
              </w:rPr>
            </w:pPr>
            <w:r>
              <w:rPr>
                <w:rFonts w:hint="eastAsia" w:ascii="宋体" w:hAnsi="宋体" w:eastAsia="宋体" w:cs="宋体"/>
                <w:szCs w:val="21"/>
              </w:rPr>
              <w:t>联系电话：023-72285217</w:t>
            </w:r>
          </w:p>
          <w:p w14:paraId="1B1B81AF">
            <w:pPr>
              <w:snapToGrid w:val="0"/>
              <w:spacing w:line="360" w:lineRule="exact"/>
              <w:rPr>
                <w:rFonts w:hint="eastAsia" w:ascii="宋体" w:hAnsi="宋体" w:eastAsia="宋体" w:cs="宋体"/>
                <w:szCs w:val="21"/>
              </w:rPr>
            </w:pPr>
            <w:r>
              <w:rPr>
                <w:rFonts w:hint="eastAsia" w:ascii="宋体" w:hAnsi="宋体" w:eastAsia="宋体" w:cs="宋体"/>
                <w:szCs w:val="21"/>
              </w:rPr>
              <w:t>地址：</w:t>
            </w:r>
            <w:r>
              <w:rPr>
                <w:rFonts w:hint="eastAsia" w:ascii="宋体" w:hAnsi="宋体" w:eastAsia="宋体" w:cs="宋体"/>
                <w:color w:val="0070C0"/>
                <w:kern w:val="0"/>
                <w:szCs w:val="21"/>
                <w:u w:val="single"/>
              </w:rPr>
              <w:t>重庆市涪陵新区李渡鹤凤大道19号品鉴硅谷园10栋</w:t>
            </w:r>
          </w:p>
        </w:tc>
      </w:tr>
      <w:tr w14:paraId="55394026">
        <w:tblPrEx>
          <w:tblCellMar>
            <w:top w:w="0" w:type="dxa"/>
            <w:left w:w="108" w:type="dxa"/>
            <w:bottom w:w="0" w:type="dxa"/>
            <w:right w:w="108" w:type="dxa"/>
          </w:tblCellMar>
        </w:tblPrEx>
        <w:trPr>
          <w:trHeight w:val="454" w:hRule="atLeast"/>
        </w:trPr>
        <w:tc>
          <w:tcPr>
            <w:tcW w:w="1200" w:type="dxa"/>
            <w:tcBorders>
              <w:top w:val="single" w:color="auto" w:sz="4" w:space="0"/>
              <w:left w:val="single" w:color="auto" w:sz="4" w:space="0"/>
              <w:bottom w:val="single" w:color="auto" w:sz="4" w:space="0"/>
              <w:right w:val="single" w:color="auto" w:sz="4" w:space="0"/>
            </w:tcBorders>
            <w:vAlign w:val="center"/>
          </w:tcPr>
          <w:p w14:paraId="4168DFB0">
            <w:pPr>
              <w:snapToGrid w:val="0"/>
              <w:spacing w:line="360" w:lineRule="exact"/>
              <w:jc w:val="center"/>
              <w:rPr>
                <w:rFonts w:hint="eastAsia" w:ascii="宋体" w:hAnsi="宋体" w:eastAsia="宋体" w:cs="宋体"/>
                <w:kern w:val="2"/>
                <w:sz w:val="21"/>
                <w:szCs w:val="21"/>
                <w:lang w:val="en-US" w:eastAsia="zh-CN" w:bidi="ar-SA"/>
              </w:rPr>
            </w:pPr>
            <w:r>
              <w:rPr>
                <w:rFonts w:hint="eastAsia" w:ascii="宋体" w:hAnsi="宋体" w:eastAsia="宋体" w:cs="宋体"/>
                <w:kern w:val="0"/>
                <w:szCs w:val="21"/>
              </w:rPr>
              <w:t>10.</w:t>
            </w:r>
            <w:r>
              <w:rPr>
                <w:rFonts w:hint="eastAsia" w:ascii="宋体" w:hAnsi="宋体" w:cs="宋体"/>
                <w:kern w:val="0"/>
                <w:szCs w:val="21"/>
                <w:lang w:val="en-US" w:eastAsia="zh-CN"/>
              </w:rPr>
              <w:t>3</w:t>
            </w:r>
          </w:p>
        </w:tc>
        <w:tc>
          <w:tcPr>
            <w:tcW w:w="2583" w:type="dxa"/>
            <w:tcBorders>
              <w:top w:val="single" w:color="auto" w:sz="4" w:space="0"/>
              <w:left w:val="single" w:color="auto" w:sz="4" w:space="0"/>
              <w:bottom w:val="single" w:color="auto" w:sz="4" w:space="0"/>
              <w:right w:val="single" w:color="auto" w:sz="4" w:space="0"/>
            </w:tcBorders>
            <w:vAlign w:val="center"/>
          </w:tcPr>
          <w:p w14:paraId="034228BC">
            <w:pPr>
              <w:snapToGrid w:val="0"/>
              <w:spacing w:line="360" w:lineRule="exact"/>
              <w:jc w:val="center"/>
              <w:rPr>
                <w:rFonts w:hint="eastAsia" w:ascii="宋体" w:hAnsi="宋体" w:eastAsia="宋体" w:cs="宋体"/>
                <w:b/>
                <w:kern w:val="0"/>
                <w:sz w:val="21"/>
                <w:szCs w:val="21"/>
                <w:lang w:val="en-US" w:eastAsia="zh-CN" w:bidi="ar-SA"/>
              </w:rPr>
            </w:pPr>
            <w:r>
              <w:rPr>
                <w:rFonts w:hint="eastAsia" w:ascii="宋体" w:hAnsi="宋体" w:eastAsia="宋体" w:cs="宋体"/>
                <w:kern w:val="0"/>
                <w:szCs w:val="21"/>
              </w:rPr>
              <w:t>关于对</w:t>
            </w:r>
            <w:r>
              <w:rPr>
                <w:rFonts w:hint="eastAsia" w:ascii="宋体" w:hAnsi="宋体" w:cs="宋体"/>
                <w:szCs w:val="21"/>
                <w:lang w:eastAsia="zh-CN"/>
              </w:rPr>
              <w:t>竞争谈判</w:t>
            </w:r>
            <w:r>
              <w:rPr>
                <w:rFonts w:hint="eastAsia" w:ascii="宋体" w:hAnsi="宋体" w:eastAsia="宋体" w:cs="宋体"/>
                <w:kern w:val="0"/>
                <w:szCs w:val="21"/>
                <w:lang w:eastAsia="zh-CN"/>
              </w:rPr>
              <w:t>文件</w:t>
            </w:r>
            <w:r>
              <w:rPr>
                <w:rFonts w:hint="eastAsia" w:ascii="宋体" w:hAnsi="宋体" w:eastAsia="宋体" w:cs="宋体"/>
                <w:kern w:val="0"/>
                <w:szCs w:val="21"/>
              </w:rPr>
              <w:t>及</w:t>
            </w:r>
            <w:r>
              <w:rPr>
                <w:rFonts w:hint="eastAsia" w:ascii="宋体" w:hAnsi="宋体" w:eastAsia="宋体" w:cs="宋体"/>
                <w:kern w:val="0"/>
                <w:szCs w:val="21"/>
                <w:lang w:eastAsia="zh-CN"/>
              </w:rPr>
              <w:t>谈判</w:t>
            </w:r>
            <w:r>
              <w:rPr>
                <w:rFonts w:hint="eastAsia" w:ascii="宋体" w:hAnsi="宋体" w:eastAsia="宋体" w:cs="宋体"/>
                <w:kern w:val="0"/>
                <w:szCs w:val="21"/>
              </w:rPr>
              <w:t>争议的解释</w:t>
            </w:r>
          </w:p>
        </w:tc>
        <w:tc>
          <w:tcPr>
            <w:tcW w:w="5817" w:type="dxa"/>
            <w:tcBorders>
              <w:top w:val="single" w:color="auto" w:sz="4" w:space="0"/>
              <w:left w:val="single" w:color="auto" w:sz="4" w:space="0"/>
              <w:bottom w:val="single" w:color="auto" w:sz="4" w:space="0"/>
              <w:right w:val="single" w:color="auto" w:sz="4" w:space="0"/>
            </w:tcBorders>
            <w:vAlign w:val="center"/>
          </w:tcPr>
          <w:p w14:paraId="7A7869F5">
            <w:pPr>
              <w:autoSpaceDE w:val="0"/>
              <w:autoSpaceDN w:val="0"/>
              <w:adjustRightInd w:val="0"/>
              <w:snapToGrid w:val="0"/>
              <w:spacing w:line="360" w:lineRule="exact"/>
              <w:jc w:val="left"/>
              <w:rPr>
                <w:rFonts w:hint="eastAsia" w:ascii="宋体" w:hAnsi="宋体" w:eastAsia="宋体" w:cs="宋体"/>
                <w:kern w:val="0"/>
                <w:szCs w:val="21"/>
              </w:rPr>
            </w:pPr>
            <w:r>
              <w:rPr>
                <w:rFonts w:hint="eastAsia" w:ascii="宋体" w:hAnsi="宋体" w:eastAsia="宋体" w:cs="宋体"/>
                <w:kern w:val="0"/>
                <w:szCs w:val="21"/>
              </w:rPr>
              <w:t>对</w:t>
            </w:r>
            <w:r>
              <w:rPr>
                <w:rFonts w:hint="eastAsia" w:ascii="宋体" w:hAnsi="宋体" w:cs="宋体"/>
                <w:szCs w:val="21"/>
                <w:lang w:eastAsia="zh-CN"/>
              </w:rPr>
              <w:t>竞争谈判</w:t>
            </w:r>
            <w:r>
              <w:rPr>
                <w:rFonts w:hint="eastAsia" w:ascii="宋体" w:hAnsi="宋体" w:eastAsia="宋体" w:cs="宋体"/>
                <w:kern w:val="0"/>
                <w:szCs w:val="21"/>
                <w:lang w:eastAsia="zh-CN"/>
              </w:rPr>
              <w:t>文件</w:t>
            </w:r>
            <w:r>
              <w:rPr>
                <w:rFonts w:hint="eastAsia" w:ascii="宋体" w:hAnsi="宋体" w:eastAsia="宋体" w:cs="宋体"/>
                <w:kern w:val="0"/>
                <w:szCs w:val="21"/>
              </w:rPr>
              <w:t>的评审标准和方法以及否决</w:t>
            </w:r>
            <w:r>
              <w:rPr>
                <w:rFonts w:hint="eastAsia" w:ascii="宋体" w:hAnsi="宋体" w:cs="宋体"/>
                <w:szCs w:val="21"/>
                <w:lang w:eastAsia="zh-CN"/>
              </w:rPr>
              <w:t>竞争谈判</w:t>
            </w:r>
            <w:r>
              <w:rPr>
                <w:rFonts w:hint="eastAsia" w:ascii="宋体" w:hAnsi="宋体" w:eastAsia="宋体" w:cs="宋体"/>
                <w:kern w:val="0"/>
                <w:szCs w:val="21"/>
                <w:lang w:eastAsia="zh-CN"/>
              </w:rPr>
              <w:t>文件</w:t>
            </w:r>
            <w:r>
              <w:rPr>
                <w:rFonts w:hint="eastAsia" w:ascii="宋体" w:hAnsi="宋体" w:eastAsia="宋体" w:cs="宋体"/>
                <w:kern w:val="0"/>
                <w:szCs w:val="21"/>
              </w:rPr>
              <w:t>条款理解有争议的，应当作出不利于采购人的解释，但违背国家利益、社会公共利益的除外。</w:t>
            </w:r>
          </w:p>
          <w:p w14:paraId="541ACB3F">
            <w:pPr>
              <w:autoSpaceDE w:val="0"/>
              <w:autoSpaceDN w:val="0"/>
              <w:adjustRightInd w:val="0"/>
              <w:snapToGrid w:val="0"/>
              <w:spacing w:line="360" w:lineRule="exact"/>
              <w:jc w:val="left"/>
              <w:rPr>
                <w:rFonts w:hint="eastAsia" w:ascii="宋体" w:hAnsi="宋体" w:eastAsia="宋体" w:cs="宋体"/>
                <w:kern w:val="2"/>
                <w:sz w:val="21"/>
                <w:szCs w:val="21"/>
                <w:lang w:val="en-US" w:eastAsia="zh-CN" w:bidi="ar-SA"/>
              </w:rPr>
            </w:pPr>
            <w:r>
              <w:rPr>
                <w:rFonts w:hint="eastAsia" w:ascii="宋体" w:hAnsi="宋体" w:eastAsia="宋体" w:cs="宋体"/>
                <w:kern w:val="0"/>
                <w:szCs w:val="21"/>
              </w:rPr>
              <w:t>对</w:t>
            </w:r>
            <w:r>
              <w:rPr>
                <w:rFonts w:hint="eastAsia" w:ascii="宋体" w:hAnsi="宋体" w:cs="宋体"/>
                <w:szCs w:val="21"/>
                <w:lang w:eastAsia="zh-CN"/>
              </w:rPr>
              <w:t>竞争谈判</w:t>
            </w:r>
            <w:r>
              <w:rPr>
                <w:rFonts w:hint="eastAsia" w:ascii="宋体" w:hAnsi="宋体" w:eastAsia="宋体" w:cs="宋体"/>
                <w:kern w:val="0"/>
                <w:szCs w:val="21"/>
                <w:lang w:eastAsia="zh-CN"/>
              </w:rPr>
              <w:t>文件</w:t>
            </w:r>
            <w:r>
              <w:rPr>
                <w:rFonts w:hint="eastAsia" w:ascii="宋体" w:hAnsi="宋体" w:eastAsia="宋体" w:cs="宋体"/>
                <w:kern w:val="0"/>
                <w:szCs w:val="21"/>
              </w:rPr>
              <w:t>理解有争议的，应当作出不利于提交该</w:t>
            </w:r>
            <w:r>
              <w:rPr>
                <w:rFonts w:hint="eastAsia" w:ascii="宋体" w:hAnsi="宋体" w:cs="宋体"/>
                <w:szCs w:val="21"/>
                <w:lang w:eastAsia="zh-CN"/>
              </w:rPr>
              <w:t>竞争谈判</w:t>
            </w:r>
            <w:r>
              <w:rPr>
                <w:rFonts w:hint="eastAsia" w:ascii="宋体" w:hAnsi="宋体" w:eastAsia="宋体" w:cs="宋体"/>
                <w:kern w:val="0"/>
                <w:szCs w:val="21"/>
                <w:lang w:eastAsia="zh-CN"/>
              </w:rPr>
              <w:t>文件</w:t>
            </w:r>
            <w:r>
              <w:rPr>
                <w:rFonts w:hint="eastAsia" w:ascii="宋体" w:hAnsi="宋体" w:eastAsia="宋体" w:cs="宋体"/>
                <w:kern w:val="0"/>
                <w:szCs w:val="21"/>
              </w:rPr>
              <w:t>的供应商的解释。</w:t>
            </w:r>
          </w:p>
        </w:tc>
      </w:tr>
    </w:tbl>
    <w:p w14:paraId="6BAB3C8C">
      <w:pPr>
        <w:spacing w:line="400" w:lineRule="exact"/>
        <w:rPr>
          <w:rFonts w:ascii="Times New Roman" w:hAnsi="Times New Roman"/>
        </w:rPr>
      </w:pPr>
      <w:r>
        <w:rPr>
          <w:rFonts w:ascii="Times New Roman" w:hAnsi="Times New Roman"/>
        </w:rPr>
        <w:br w:type="page"/>
      </w:r>
    </w:p>
    <w:p w14:paraId="1A76A852">
      <w:pPr>
        <w:pStyle w:val="4"/>
        <w:spacing w:before="0" w:after="0" w:line="360" w:lineRule="exact"/>
        <w:jc w:val="left"/>
        <w:rPr>
          <w:rFonts w:ascii="宋体" w:hAnsi="宋体" w:eastAsia="宋体" w:cs="宋体"/>
          <w:sz w:val="21"/>
          <w:szCs w:val="21"/>
        </w:rPr>
      </w:pPr>
      <w:bookmarkStart w:id="80" w:name="_Toc74125880"/>
      <w:bookmarkStart w:id="81" w:name="_Toc80884452"/>
      <w:bookmarkStart w:id="82" w:name="_Toc31306"/>
      <w:bookmarkStart w:id="83" w:name="_Toc7122"/>
      <w:bookmarkStart w:id="84" w:name="_Toc12611"/>
      <w:bookmarkStart w:id="85" w:name="_Toc69937154"/>
      <w:r>
        <w:rPr>
          <w:rFonts w:hint="eastAsia" w:ascii="宋体" w:hAnsi="宋体" w:eastAsia="宋体" w:cs="宋体"/>
          <w:sz w:val="21"/>
          <w:szCs w:val="21"/>
        </w:rPr>
        <w:t>1. 总则</w:t>
      </w:r>
      <w:bookmarkEnd w:id="80"/>
      <w:bookmarkEnd w:id="81"/>
      <w:bookmarkEnd w:id="82"/>
      <w:bookmarkEnd w:id="83"/>
      <w:bookmarkEnd w:id="84"/>
      <w:bookmarkEnd w:id="85"/>
    </w:p>
    <w:p w14:paraId="5539563D">
      <w:pPr>
        <w:pStyle w:val="5"/>
        <w:spacing w:before="0" w:after="0" w:line="360" w:lineRule="exact"/>
        <w:ind w:firstLine="420" w:firstLineChars="200"/>
        <w:jc w:val="left"/>
        <w:rPr>
          <w:rFonts w:ascii="宋体" w:hAnsi="宋体" w:eastAsia="宋体" w:cs="宋体"/>
          <w:sz w:val="21"/>
          <w:szCs w:val="21"/>
        </w:rPr>
      </w:pPr>
      <w:bookmarkStart w:id="86" w:name="_Toc30836"/>
      <w:bookmarkStart w:id="87" w:name="_Toc16622"/>
      <w:bookmarkStart w:id="88" w:name="_Toc4383"/>
      <w:bookmarkStart w:id="89" w:name="_Toc74125881"/>
      <w:bookmarkStart w:id="90" w:name="_Toc69937155"/>
      <w:bookmarkStart w:id="91" w:name="_Toc80884453"/>
      <w:r>
        <w:rPr>
          <w:rFonts w:hint="eastAsia" w:ascii="宋体" w:hAnsi="宋体" w:eastAsia="宋体" w:cs="宋体"/>
          <w:sz w:val="21"/>
          <w:szCs w:val="21"/>
        </w:rPr>
        <w:t>1.1 项目概况</w:t>
      </w:r>
      <w:bookmarkEnd w:id="86"/>
      <w:bookmarkEnd w:id="87"/>
      <w:bookmarkEnd w:id="88"/>
      <w:bookmarkEnd w:id="89"/>
      <w:bookmarkEnd w:id="90"/>
      <w:bookmarkEnd w:id="91"/>
    </w:p>
    <w:p w14:paraId="2F84AC33">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1.1.1</w:t>
      </w:r>
      <w:r>
        <w:rPr>
          <w:rFonts w:hint="eastAsia" w:ascii="宋体" w:hAnsi="宋体"/>
          <w:szCs w:val="21"/>
        </w:rPr>
        <w:t>根据</w:t>
      </w:r>
      <w:r>
        <w:rPr>
          <w:rFonts w:ascii="宋体" w:hAnsi="宋体"/>
          <w:szCs w:val="21"/>
        </w:rPr>
        <w:t>《中华人民共和国招标投标法》、《中华人民共和国招标投标法实施条例》</w:t>
      </w:r>
      <w:r>
        <w:rPr>
          <w:rFonts w:hint="eastAsia" w:ascii="宋体" w:hAnsi="宋体"/>
          <w:szCs w:val="21"/>
        </w:rPr>
        <w:t>等有关法律、法规和规章的规定，本</w:t>
      </w:r>
      <w:r>
        <w:rPr>
          <w:rFonts w:hint="eastAsia" w:ascii="宋体" w:hAnsi="宋体"/>
          <w:szCs w:val="21"/>
          <w:lang w:eastAsia="zh-CN"/>
        </w:rPr>
        <w:t>谈判</w:t>
      </w:r>
      <w:r>
        <w:rPr>
          <w:rFonts w:hint="eastAsia" w:ascii="宋体" w:hAnsi="宋体"/>
          <w:szCs w:val="21"/>
        </w:rPr>
        <w:t>项目已具备</w:t>
      </w:r>
      <w:r>
        <w:rPr>
          <w:rFonts w:hint="eastAsia" w:ascii="宋体" w:hAnsi="宋体"/>
          <w:szCs w:val="21"/>
          <w:lang w:eastAsia="zh-CN"/>
        </w:rPr>
        <w:t>谈判</w:t>
      </w:r>
      <w:r>
        <w:rPr>
          <w:rFonts w:hint="eastAsia" w:ascii="宋体" w:hAnsi="宋体"/>
          <w:szCs w:val="21"/>
        </w:rPr>
        <w:t>条件，现对本项目进行</w:t>
      </w:r>
      <w:r>
        <w:rPr>
          <w:rFonts w:hint="eastAsia" w:ascii="宋体" w:hAnsi="宋体"/>
          <w:szCs w:val="21"/>
          <w:lang w:eastAsia="zh-CN"/>
        </w:rPr>
        <w:t>谈判</w:t>
      </w:r>
      <w:r>
        <w:rPr>
          <w:rFonts w:hint="eastAsia" w:ascii="宋体" w:hAnsi="宋体"/>
          <w:szCs w:val="21"/>
        </w:rPr>
        <w:t>。</w:t>
      </w:r>
    </w:p>
    <w:p w14:paraId="0B7C520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1.1.2 采购人：见供应商须知前附表。</w:t>
      </w:r>
    </w:p>
    <w:p w14:paraId="7969C73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1.1.3 采购代理机构：见供应商须知前附表。</w:t>
      </w:r>
    </w:p>
    <w:p w14:paraId="103A6A71">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1.1.4 </w:t>
      </w:r>
      <w:r>
        <w:rPr>
          <w:rFonts w:hint="eastAsia" w:ascii="宋体" w:hAnsi="宋体" w:eastAsia="宋体" w:cs="宋体"/>
          <w:szCs w:val="21"/>
          <w:lang w:eastAsia="zh-CN"/>
        </w:rPr>
        <w:t>谈判</w:t>
      </w:r>
      <w:r>
        <w:rPr>
          <w:rFonts w:hint="eastAsia" w:ascii="宋体" w:hAnsi="宋体" w:eastAsia="宋体" w:cs="宋体"/>
          <w:szCs w:val="21"/>
        </w:rPr>
        <w:t>项目名称：见供应商须知前附表。</w:t>
      </w:r>
    </w:p>
    <w:p w14:paraId="18773438">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1.1.5 项目建设地点：见供应商须知前附表。</w:t>
      </w:r>
    </w:p>
    <w:p w14:paraId="7894E9B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1.1.6 项目建设规模：见供应商须知前附表。</w:t>
      </w:r>
    </w:p>
    <w:p w14:paraId="454A80F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1.1.7 项目投资估算：见供应商须知前附表。</w:t>
      </w:r>
    </w:p>
    <w:p w14:paraId="26BCADD1">
      <w:pPr>
        <w:pStyle w:val="5"/>
        <w:spacing w:before="0" w:after="0" w:line="360" w:lineRule="exact"/>
        <w:ind w:firstLine="420" w:firstLineChars="200"/>
        <w:jc w:val="left"/>
        <w:rPr>
          <w:rFonts w:ascii="宋体" w:hAnsi="宋体" w:eastAsia="宋体" w:cs="宋体"/>
          <w:sz w:val="21"/>
          <w:szCs w:val="21"/>
        </w:rPr>
      </w:pPr>
      <w:bookmarkStart w:id="92" w:name="_Toc74125882"/>
      <w:bookmarkStart w:id="93" w:name="_Toc69937156"/>
      <w:bookmarkStart w:id="94" w:name="_Toc31551"/>
      <w:bookmarkStart w:id="95" w:name="_Toc80884454"/>
      <w:bookmarkStart w:id="96" w:name="_Toc2427"/>
      <w:bookmarkStart w:id="97" w:name="_Toc836"/>
      <w:r>
        <w:rPr>
          <w:rFonts w:hint="eastAsia" w:ascii="宋体" w:hAnsi="宋体" w:eastAsia="宋体" w:cs="宋体"/>
          <w:sz w:val="21"/>
          <w:szCs w:val="21"/>
        </w:rPr>
        <w:t>1.2 采购项目的资金来源和落实情况</w:t>
      </w:r>
      <w:bookmarkEnd w:id="92"/>
      <w:bookmarkEnd w:id="93"/>
      <w:bookmarkEnd w:id="94"/>
      <w:bookmarkEnd w:id="95"/>
      <w:bookmarkEnd w:id="96"/>
      <w:bookmarkEnd w:id="97"/>
    </w:p>
    <w:p w14:paraId="6FF2F62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1.2.1 资金来源及比例：见供应商须知前附表。</w:t>
      </w:r>
    </w:p>
    <w:p w14:paraId="72E4638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1.2.2 资金落实情况：见供应商须知前附表。</w:t>
      </w:r>
    </w:p>
    <w:p w14:paraId="1A51048E">
      <w:pPr>
        <w:pStyle w:val="5"/>
        <w:spacing w:before="0" w:after="0" w:line="360" w:lineRule="exact"/>
        <w:ind w:firstLine="420" w:firstLineChars="200"/>
        <w:jc w:val="left"/>
        <w:rPr>
          <w:rFonts w:ascii="宋体" w:hAnsi="宋体" w:eastAsia="宋体" w:cs="宋体"/>
          <w:sz w:val="21"/>
          <w:szCs w:val="21"/>
        </w:rPr>
      </w:pPr>
      <w:bookmarkStart w:id="98" w:name="_Toc21015"/>
      <w:bookmarkStart w:id="99" w:name="_Toc69937157"/>
      <w:bookmarkStart w:id="100" w:name="_Toc8859"/>
      <w:bookmarkStart w:id="101" w:name="_Toc5046"/>
      <w:bookmarkStart w:id="102" w:name="_Toc74125883"/>
      <w:bookmarkStart w:id="103" w:name="_Toc80884455"/>
      <w:r>
        <w:rPr>
          <w:rFonts w:hint="eastAsia" w:ascii="宋体" w:hAnsi="宋体" w:eastAsia="宋体" w:cs="宋体"/>
          <w:sz w:val="21"/>
          <w:szCs w:val="21"/>
        </w:rPr>
        <w:t>1.3采购范围、服务期限和质量标准</w:t>
      </w:r>
      <w:bookmarkEnd w:id="98"/>
      <w:bookmarkEnd w:id="99"/>
      <w:bookmarkEnd w:id="100"/>
      <w:bookmarkEnd w:id="101"/>
      <w:r>
        <w:rPr>
          <w:rFonts w:hint="eastAsia" w:ascii="宋体" w:hAnsi="宋体" w:eastAsia="宋体" w:cs="宋体"/>
          <w:sz w:val="21"/>
          <w:szCs w:val="21"/>
        </w:rPr>
        <w:t>。</w:t>
      </w:r>
      <w:bookmarkEnd w:id="102"/>
      <w:bookmarkEnd w:id="103"/>
    </w:p>
    <w:p w14:paraId="2A97191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1.3.1 采购范围：见供应商须知前附表。</w:t>
      </w:r>
    </w:p>
    <w:p w14:paraId="2ADF3D5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1.3.2 服务期限：见供应商须知前附表。</w:t>
      </w:r>
    </w:p>
    <w:p w14:paraId="3FE2DFDF">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1.3.3 质量标准：见供应商须知前附表。</w:t>
      </w:r>
    </w:p>
    <w:p w14:paraId="2D347328">
      <w:pPr>
        <w:pStyle w:val="5"/>
        <w:spacing w:before="0" w:after="0" w:line="360" w:lineRule="exact"/>
        <w:ind w:firstLine="420" w:firstLineChars="200"/>
        <w:jc w:val="left"/>
        <w:rPr>
          <w:rFonts w:ascii="宋体" w:hAnsi="宋体" w:eastAsia="宋体" w:cs="宋体"/>
          <w:sz w:val="21"/>
          <w:szCs w:val="21"/>
        </w:rPr>
      </w:pPr>
      <w:bookmarkStart w:id="104" w:name="_Toc74125884"/>
      <w:bookmarkStart w:id="105" w:name="_Toc80884456"/>
      <w:bookmarkStart w:id="106" w:name="_Toc8819"/>
      <w:bookmarkStart w:id="107" w:name="_Toc26365"/>
      <w:bookmarkStart w:id="108" w:name="_Toc27245"/>
      <w:bookmarkStart w:id="109" w:name="_Toc69937158"/>
      <w:r>
        <w:rPr>
          <w:rFonts w:hint="eastAsia" w:ascii="宋体" w:hAnsi="宋体" w:eastAsia="宋体" w:cs="宋体"/>
          <w:sz w:val="21"/>
          <w:szCs w:val="21"/>
        </w:rPr>
        <w:t>1.4供应商资格要求</w:t>
      </w:r>
      <w:bookmarkEnd w:id="104"/>
      <w:bookmarkEnd w:id="105"/>
      <w:bookmarkEnd w:id="106"/>
      <w:bookmarkEnd w:id="107"/>
      <w:bookmarkEnd w:id="108"/>
      <w:bookmarkEnd w:id="109"/>
    </w:p>
    <w:p w14:paraId="56DC890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1.4.1 供应商应具备承担本采购项目资质条件、能力和信誉：</w:t>
      </w:r>
    </w:p>
    <w:p w14:paraId="0CCD951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（1）资质要求：见供应商须知前附表；</w:t>
      </w:r>
    </w:p>
    <w:p w14:paraId="5B7D205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（2）财务要求：见供应商须知前附表；</w:t>
      </w:r>
    </w:p>
    <w:p w14:paraId="4955462F">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（3）业绩要求：见供应商须知前附表；</w:t>
      </w:r>
    </w:p>
    <w:p w14:paraId="7A14009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（4）信誉要求：见供应商须知前附表；</w:t>
      </w:r>
    </w:p>
    <w:p w14:paraId="4C9C7F3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（5）项目负责人的资格要求：具体要求见供应商须知前附表；</w:t>
      </w:r>
    </w:p>
    <w:p w14:paraId="20967AC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（6）其他主要人员要求：见供应商须知前附表。</w:t>
      </w:r>
    </w:p>
    <w:p w14:paraId="4D5C9207">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（7）其他要求：见供应商须知前附表。</w:t>
      </w:r>
    </w:p>
    <w:p w14:paraId="5F7F9412">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需要提交的相关证明材料见本章第3.5款的规定。</w:t>
      </w:r>
    </w:p>
    <w:p w14:paraId="38DFDD64">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1.4.2供应商须知前附表规定接受联合体供应商的，联合体除应符合本章第1.4.1项和供应商须知前附表的要求外，还应遵守以下规定：</w:t>
      </w:r>
    </w:p>
    <w:p w14:paraId="76B99901">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（1）联合体各方应按</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提供的格式签订联合体协议书，明确联合体牵头人和各方权利义务，并承诺就成交项目向采购人承担连带责任；</w:t>
      </w:r>
    </w:p>
    <w:p w14:paraId="3A48A0F0">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（2）由同一专业的单位组成的联合体，按照资质等级较低的单位确定资质等级；</w:t>
      </w:r>
    </w:p>
    <w:p w14:paraId="1D6254F6">
      <w:pPr>
        <w:spacing w:line="360" w:lineRule="exact"/>
        <w:ind w:firstLine="420" w:firstLineChars="200"/>
        <w:jc w:val="left"/>
        <w:rPr>
          <w:rFonts w:ascii="宋体" w:hAnsi="宋体"/>
          <w:szCs w:val="21"/>
        </w:rPr>
      </w:pPr>
      <w:r>
        <w:rPr>
          <w:rFonts w:hint="eastAsia" w:ascii="宋体" w:hAnsi="宋体" w:eastAsia="宋体" w:cs="宋体"/>
          <w:szCs w:val="21"/>
        </w:rPr>
        <w:t>（3）</w:t>
      </w:r>
      <w:r>
        <w:rPr>
          <w:rFonts w:ascii="宋体" w:hAnsi="宋体"/>
          <w:szCs w:val="21"/>
        </w:rPr>
        <w:t>联合体各方不得再以自己名义单独或参加其他联合体在本项目中</w:t>
      </w:r>
      <w:r>
        <w:rPr>
          <w:rFonts w:hint="eastAsia" w:ascii="宋体" w:hAnsi="宋体"/>
          <w:szCs w:val="21"/>
          <w:lang w:eastAsia="zh-CN"/>
        </w:rPr>
        <w:t>谈判</w:t>
      </w:r>
      <w:r>
        <w:rPr>
          <w:rFonts w:ascii="宋体" w:hAnsi="宋体"/>
          <w:szCs w:val="21"/>
        </w:rPr>
        <w:t>，否则各相关</w:t>
      </w:r>
      <w:r>
        <w:rPr>
          <w:rFonts w:hint="eastAsia" w:ascii="宋体" w:hAnsi="宋体"/>
          <w:szCs w:val="21"/>
          <w:lang w:eastAsia="zh-CN"/>
        </w:rPr>
        <w:t>谈判</w:t>
      </w:r>
      <w:r>
        <w:rPr>
          <w:rFonts w:ascii="宋体" w:hAnsi="宋体"/>
          <w:szCs w:val="21"/>
        </w:rPr>
        <w:t>均无效。</w:t>
      </w:r>
    </w:p>
    <w:p w14:paraId="69EAB532">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1.4.3 供应商不得存在下列情形之一：</w:t>
      </w:r>
    </w:p>
    <w:p w14:paraId="6682F93F">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（1）为采购人不具有独立法人资格的附属机构（单位）；</w:t>
      </w:r>
    </w:p>
    <w:p w14:paraId="17070202">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（2）与采购人存在利害关系且可能影响</w:t>
      </w:r>
      <w:r>
        <w:rPr>
          <w:rFonts w:hint="eastAsia" w:ascii="宋体" w:hAnsi="宋体" w:eastAsia="宋体" w:cs="宋体"/>
          <w:szCs w:val="21"/>
          <w:lang w:eastAsia="zh-CN"/>
        </w:rPr>
        <w:t>谈判</w:t>
      </w:r>
      <w:r>
        <w:rPr>
          <w:rFonts w:hint="eastAsia" w:ascii="宋体" w:hAnsi="宋体" w:eastAsia="宋体" w:cs="宋体"/>
          <w:szCs w:val="21"/>
        </w:rPr>
        <w:t>公正性；</w:t>
      </w:r>
    </w:p>
    <w:p w14:paraId="2ED6AB2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（3）与本</w:t>
      </w:r>
      <w:r>
        <w:rPr>
          <w:rFonts w:hint="eastAsia" w:ascii="宋体" w:hAnsi="宋体" w:eastAsia="宋体" w:cs="宋体"/>
          <w:szCs w:val="21"/>
          <w:lang w:eastAsia="zh-CN"/>
        </w:rPr>
        <w:t>谈判</w:t>
      </w:r>
      <w:r>
        <w:rPr>
          <w:rFonts w:hint="eastAsia" w:ascii="宋体" w:hAnsi="宋体" w:eastAsia="宋体" w:cs="宋体"/>
          <w:szCs w:val="21"/>
        </w:rPr>
        <w:t>项目的其他供应商为同一个单位负责人；</w:t>
      </w:r>
    </w:p>
    <w:p w14:paraId="35C1C37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（4）与本</w:t>
      </w:r>
      <w:r>
        <w:rPr>
          <w:rFonts w:hint="eastAsia" w:ascii="宋体" w:hAnsi="宋体" w:eastAsia="宋体" w:cs="宋体"/>
          <w:szCs w:val="21"/>
          <w:lang w:eastAsia="zh-CN"/>
        </w:rPr>
        <w:t>谈判</w:t>
      </w:r>
      <w:r>
        <w:rPr>
          <w:rFonts w:hint="eastAsia" w:ascii="宋体" w:hAnsi="宋体" w:eastAsia="宋体" w:cs="宋体"/>
          <w:szCs w:val="21"/>
        </w:rPr>
        <w:t>项目的其他供应商存在控股、管理关系；</w:t>
      </w:r>
    </w:p>
    <w:p w14:paraId="5532FF70">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（5）为本</w:t>
      </w:r>
      <w:r>
        <w:rPr>
          <w:rFonts w:hint="eastAsia" w:ascii="宋体" w:hAnsi="宋体" w:eastAsia="宋体" w:cs="宋体"/>
          <w:szCs w:val="21"/>
          <w:lang w:eastAsia="zh-CN"/>
        </w:rPr>
        <w:t>谈判</w:t>
      </w:r>
      <w:r>
        <w:rPr>
          <w:rFonts w:hint="eastAsia" w:ascii="宋体" w:hAnsi="宋体" w:eastAsia="宋体" w:cs="宋体"/>
          <w:szCs w:val="21"/>
        </w:rPr>
        <w:t>项目的代建人；</w:t>
      </w:r>
    </w:p>
    <w:p w14:paraId="0F13CB8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（6）为本</w:t>
      </w:r>
      <w:r>
        <w:rPr>
          <w:rFonts w:hint="eastAsia" w:ascii="宋体" w:hAnsi="宋体" w:eastAsia="宋体" w:cs="宋体"/>
          <w:szCs w:val="21"/>
          <w:lang w:eastAsia="zh-CN"/>
        </w:rPr>
        <w:t>谈判</w:t>
      </w:r>
      <w:r>
        <w:rPr>
          <w:rFonts w:hint="eastAsia" w:ascii="宋体" w:hAnsi="宋体" w:eastAsia="宋体" w:cs="宋体"/>
          <w:szCs w:val="21"/>
        </w:rPr>
        <w:t>项目的采购代理机构；</w:t>
      </w:r>
    </w:p>
    <w:p w14:paraId="568F4E6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（7）与本</w:t>
      </w:r>
      <w:r>
        <w:rPr>
          <w:rFonts w:hint="eastAsia" w:ascii="宋体" w:hAnsi="宋体" w:eastAsia="宋体" w:cs="宋体"/>
          <w:szCs w:val="21"/>
          <w:lang w:eastAsia="zh-CN"/>
        </w:rPr>
        <w:t>谈判</w:t>
      </w:r>
      <w:r>
        <w:rPr>
          <w:rFonts w:hint="eastAsia" w:ascii="宋体" w:hAnsi="宋体" w:eastAsia="宋体" w:cs="宋体"/>
          <w:szCs w:val="21"/>
        </w:rPr>
        <w:t>项目的代建人或采购代理机构同为一个法定代表人；</w:t>
      </w:r>
    </w:p>
    <w:p w14:paraId="691F3EB4">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（8）与本</w:t>
      </w:r>
      <w:r>
        <w:rPr>
          <w:rFonts w:hint="eastAsia" w:ascii="宋体" w:hAnsi="宋体" w:eastAsia="宋体" w:cs="宋体"/>
          <w:szCs w:val="21"/>
          <w:lang w:eastAsia="zh-CN"/>
        </w:rPr>
        <w:t>谈判</w:t>
      </w:r>
      <w:r>
        <w:rPr>
          <w:rFonts w:hint="eastAsia" w:ascii="宋体" w:hAnsi="宋体" w:eastAsia="宋体" w:cs="宋体"/>
          <w:szCs w:val="21"/>
        </w:rPr>
        <w:t>项目的代建人或采购代理机构存在控股或参股关系；</w:t>
      </w:r>
    </w:p>
    <w:p w14:paraId="0B279093">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（9）被依法暂停或者取消投标资格；</w:t>
      </w:r>
    </w:p>
    <w:p w14:paraId="7D4A42F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（10）被责令停产停业、暂扣或者吊销许可证、暂扣或者吊销执照；</w:t>
      </w:r>
    </w:p>
    <w:p w14:paraId="3A4E102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（11）进入清算程序，或被宣告破产，或其他丧失履约能力的情形；</w:t>
      </w:r>
    </w:p>
    <w:p w14:paraId="54392DD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（12）在最近三年内发生重大设计质量问题（以相关行业主管部门的行政处罚决定或司法机关出具的有关法律文书为准）；</w:t>
      </w:r>
    </w:p>
    <w:p w14:paraId="033FFFA3">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（13）被工商行政管理机关在全国企业信用信息公示系统中列入严重违法失信企业名单；</w:t>
      </w:r>
    </w:p>
    <w:p w14:paraId="6D397F4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（14）被最高人民法院在“信用中国”网站（www.creditchina.gov.cn）或各级信用信息共享平台中列入失信被执行人名单；</w:t>
      </w:r>
    </w:p>
    <w:p w14:paraId="418B1E5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（15）在近三年内供应商或其法定代表人、拟委任的项目负责人有行贿犯罪行为的；</w:t>
      </w:r>
    </w:p>
    <w:p w14:paraId="37FB621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（16）法律法规或供应商须知前附表规定的其他情形。</w:t>
      </w:r>
    </w:p>
    <w:p w14:paraId="24FFCB46">
      <w:pPr>
        <w:pStyle w:val="5"/>
        <w:spacing w:before="0" w:after="0" w:line="360" w:lineRule="exact"/>
        <w:ind w:firstLine="420" w:firstLineChars="200"/>
        <w:jc w:val="left"/>
        <w:rPr>
          <w:rFonts w:ascii="宋体" w:hAnsi="宋体" w:eastAsia="宋体" w:cs="宋体"/>
          <w:sz w:val="21"/>
          <w:szCs w:val="21"/>
        </w:rPr>
      </w:pPr>
      <w:bookmarkStart w:id="110" w:name="_Toc69937159"/>
      <w:bookmarkStart w:id="111" w:name="_Toc29118"/>
      <w:bookmarkStart w:id="112" w:name="_Toc80884457"/>
      <w:bookmarkStart w:id="113" w:name="_Toc25"/>
      <w:bookmarkStart w:id="114" w:name="_Toc29587"/>
      <w:bookmarkStart w:id="115" w:name="_Toc74125885"/>
      <w:r>
        <w:rPr>
          <w:rFonts w:hint="eastAsia" w:ascii="宋体" w:hAnsi="宋体" w:eastAsia="宋体" w:cs="宋体"/>
          <w:sz w:val="21"/>
          <w:szCs w:val="21"/>
        </w:rPr>
        <w:t>1.5 费用承担</w:t>
      </w:r>
      <w:bookmarkEnd w:id="110"/>
      <w:bookmarkEnd w:id="111"/>
      <w:bookmarkEnd w:id="112"/>
      <w:bookmarkEnd w:id="113"/>
      <w:bookmarkEnd w:id="114"/>
      <w:bookmarkEnd w:id="115"/>
    </w:p>
    <w:p w14:paraId="7C868EF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供应商准备和参加</w:t>
      </w:r>
      <w:r>
        <w:rPr>
          <w:rFonts w:hint="eastAsia" w:ascii="宋体" w:hAnsi="宋体" w:eastAsia="宋体" w:cs="宋体"/>
          <w:szCs w:val="21"/>
          <w:lang w:eastAsia="zh-CN"/>
        </w:rPr>
        <w:t>谈判</w:t>
      </w:r>
      <w:r>
        <w:rPr>
          <w:rFonts w:hint="eastAsia" w:ascii="宋体" w:hAnsi="宋体" w:eastAsia="宋体" w:cs="宋体"/>
          <w:szCs w:val="21"/>
        </w:rPr>
        <w:t>活动发生的费用自理。</w:t>
      </w:r>
    </w:p>
    <w:p w14:paraId="1366D531">
      <w:pPr>
        <w:pStyle w:val="5"/>
        <w:spacing w:before="0" w:after="0" w:line="360" w:lineRule="exact"/>
        <w:ind w:firstLine="420" w:firstLineChars="200"/>
        <w:jc w:val="left"/>
        <w:rPr>
          <w:rFonts w:ascii="宋体" w:hAnsi="宋体" w:eastAsia="宋体" w:cs="宋体"/>
          <w:sz w:val="21"/>
          <w:szCs w:val="21"/>
        </w:rPr>
      </w:pPr>
      <w:bookmarkStart w:id="116" w:name="_Toc7705"/>
      <w:bookmarkStart w:id="117" w:name="_Toc69937160"/>
      <w:bookmarkStart w:id="118" w:name="_Toc80884458"/>
      <w:bookmarkStart w:id="119" w:name="_Toc25920"/>
      <w:bookmarkStart w:id="120" w:name="_Toc17276"/>
      <w:bookmarkStart w:id="121" w:name="_Toc74125886"/>
      <w:r>
        <w:rPr>
          <w:rFonts w:hint="eastAsia" w:ascii="宋体" w:hAnsi="宋体" w:eastAsia="宋体" w:cs="宋体"/>
          <w:sz w:val="21"/>
          <w:szCs w:val="21"/>
        </w:rPr>
        <w:t>1.6保密</w:t>
      </w:r>
      <w:bookmarkEnd w:id="116"/>
      <w:bookmarkEnd w:id="117"/>
      <w:bookmarkEnd w:id="118"/>
      <w:bookmarkEnd w:id="119"/>
      <w:bookmarkEnd w:id="120"/>
      <w:bookmarkEnd w:id="121"/>
    </w:p>
    <w:p w14:paraId="74F2D7B4">
      <w:pPr>
        <w:spacing w:line="360" w:lineRule="exact"/>
        <w:ind w:firstLine="420" w:firstLineChars="200"/>
        <w:jc w:val="left"/>
        <w:rPr>
          <w:rFonts w:ascii="宋体" w:hAnsi="宋体"/>
          <w:szCs w:val="21"/>
        </w:rPr>
      </w:pPr>
      <w:bookmarkStart w:id="122" w:name="_Toc19147"/>
      <w:r>
        <w:rPr>
          <w:rFonts w:ascii="宋体" w:hAnsi="宋体"/>
          <w:szCs w:val="21"/>
        </w:rPr>
        <w:t>参与</w:t>
      </w:r>
      <w:r>
        <w:rPr>
          <w:rFonts w:hint="eastAsia" w:ascii="宋体" w:hAnsi="宋体"/>
          <w:szCs w:val="21"/>
          <w:lang w:eastAsia="zh-CN"/>
        </w:rPr>
        <w:t>谈判</w:t>
      </w:r>
      <w:r>
        <w:rPr>
          <w:rFonts w:ascii="宋体" w:hAnsi="宋体"/>
          <w:szCs w:val="21"/>
        </w:rPr>
        <w:t>活动的各方应对</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和</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中的商业和技术等秘密保密，否则应承担相应的法律责任。</w:t>
      </w:r>
    </w:p>
    <w:p w14:paraId="21385187">
      <w:pPr>
        <w:pStyle w:val="5"/>
        <w:spacing w:before="0" w:after="0" w:line="360" w:lineRule="exact"/>
        <w:ind w:firstLine="420" w:firstLineChars="200"/>
        <w:jc w:val="left"/>
        <w:rPr>
          <w:rFonts w:ascii="宋体" w:hAnsi="宋体" w:eastAsia="宋体" w:cs="宋体"/>
          <w:sz w:val="21"/>
          <w:szCs w:val="21"/>
        </w:rPr>
      </w:pPr>
      <w:bookmarkStart w:id="123" w:name="_Toc69937161"/>
      <w:bookmarkStart w:id="124" w:name="_Toc30281"/>
      <w:bookmarkStart w:id="125" w:name="_Toc80884459"/>
      <w:bookmarkStart w:id="126" w:name="_Toc2524"/>
      <w:bookmarkStart w:id="127" w:name="_Toc74125887"/>
      <w:r>
        <w:rPr>
          <w:rFonts w:hint="eastAsia" w:ascii="宋体" w:hAnsi="宋体" w:eastAsia="宋体" w:cs="宋体"/>
          <w:sz w:val="21"/>
          <w:szCs w:val="21"/>
        </w:rPr>
        <w:t>1.7 语言文字</w:t>
      </w:r>
      <w:bookmarkEnd w:id="122"/>
      <w:bookmarkEnd w:id="123"/>
      <w:bookmarkEnd w:id="124"/>
      <w:bookmarkEnd w:id="125"/>
      <w:bookmarkEnd w:id="126"/>
      <w:bookmarkEnd w:id="127"/>
    </w:p>
    <w:p w14:paraId="72A059F9">
      <w:pPr>
        <w:spacing w:line="360" w:lineRule="exact"/>
        <w:ind w:firstLine="420" w:firstLineChars="200"/>
        <w:jc w:val="left"/>
        <w:rPr>
          <w:rFonts w:ascii="宋体" w:hAnsi="宋体"/>
          <w:szCs w:val="21"/>
        </w:rPr>
      </w:pPr>
      <w:bookmarkStart w:id="128" w:name="_Toc25702"/>
      <w:r>
        <w:rPr>
          <w:rFonts w:hint="eastAsia" w:ascii="宋体" w:hAnsi="宋体" w:eastAsia="宋体" w:cs="宋体"/>
          <w:szCs w:val="21"/>
          <w:lang w:eastAsia="zh-CN"/>
        </w:rPr>
        <w:t>响应文件</w:t>
      </w:r>
      <w:r>
        <w:rPr>
          <w:rFonts w:ascii="宋体" w:hAnsi="宋体"/>
          <w:szCs w:val="21"/>
        </w:rPr>
        <w:t>语言文字为中文。专用术语使用外文的，应附有中文注释。</w:t>
      </w:r>
    </w:p>
    <w:p w14:paraId="64B61B57">
      <w:pPr>
        <w:pStyle w:val="5"/>
        <w:spacing w:before="0" w:after="0" w:line="360" w:lineRule="exact"/>
        <w:ind w:firstLine="420" w:firstLineChars="200"/>
        <w:jc w:val="left"/>
        <w:rPr>
          <w:rFonts w:ascii="宋体" w:hAnsi="宋体" w:eastAsia="宋体" w:cs="宋体"/>
          <w:sz w:val="21"/>
          <w:szCs w:val="21"/>
        </w:rPr>
      </w:pPr>
      <w:bookmarkStart w:id="129" w:name="_Toc12112"/>
      <w:bookmarkStart w:id="130" w:name="_Toc74125888"/>
      <w:bookmarkStart w:id="131" w:name="_Toc80884460"/>
      <w:bookmarkStart w:id="132" w:name="_Toc69937162"/>
      <w:bookmarkStart w:id="133" w:name="_Toc4644"/>
      <w:r>
        <w:rPr>
          <w:rFonts w:hint="eastAsia" w:ascii="宋体" w:hAnsi="宋体" w:eastAsia="宋体" w:cs="宋体"/>
          <w:sz w:val="21"/>
          <w:szCs w:val="21"/>
        </w:rPr>
        <w:t>1.8计量单位</w:t>
      </w:r>
      <w:bookmarkEnd w:id="128"/>
      <w:bookmarkEnd w:id="129"/>
      <w:bookmarkEnd w:id="130"/>
      <w:bookmarkEnd w:id="131"/>
      <w:bookmarkEnd w:id="132"/>
      <w:bookmarkEnd w:id="133"/>
    </w:p>
    <w:p w14:paraId="5A0C2F1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所有计量均采用中华人民共和国法定计量单位。</w:t>
      </w:r>
    </w:p>
    <w:p w14:paraId="6712FBCF">
      <w:pPr>
        <w:pStyle w:val="5"/>
        <w:spacing w:before="0" w:after="0" w:line="360" w:lineRule="exact"/>
        <w:ind w:firstLine="420" w:firstLineChars="200"/>
        <w:jc w:val="left"/>
        <w:rPr>
          <w:rFonts w:ascii="宋体" w:hAnsi="宋体" w:eastAsia="宋体" w:cs="宋体"/>
          <w:sz w:val="21"/>
          <w:szCs w:val="21"/>
        </w:rPr>
      </w:pPr>
      <w:bookmarkStart w:id="134" w:name="_Toc247513962"/>
      <w:bookmarkStart w:id="135" w:name="_Toc384308219"/>
      <w:bookmarkStart w:id="136" w:name="_Toc144974507"/>
      <w:bookmarkStart w:id="137" w:name="_Toc391393967"/>
      <w:bookmarkStart w:id="138" w:name="_Toc23744"/>
      <w:bookmarkStart w:id="139" w:name="_Toc80884461"/>
      <w:bookmarkStart w:id="140" w:name="_Toc370676289"/>
      <w:bookmarkStart w:id="141" w:name="_Toc23855"/>
      <w:bookmarkStart w:id="142" w:name="_Toc361508594"/>
      <w:bookmarkStart w:id="143" w:name="_Toc247527563"/>
      <w:bookmarkStart w:id="144" w:name="_Toc152042315"/>
      <w:bookmarkStart w:id="145" w:name="_Toc17547"/>
      <w:bookmarkStart w:id="146" w:name="_Toc74125889"/>
      <w:bookmarkStart w:id="147" w:name="_Toc152045539"/>
      <w:bookmarkStart w:id="148" w:name="_Toc300834959"/>
      <w:bookmarkStart w:id="149" w:name="_Toc69937163"/>
      <w:bookmarkStart w:id="150" w:name="_Toc482188480"/>
      <w:r>
        <w:rPr>
          <w:rFonts w:hint="eastAsia" w:ascii="宋体" w:hAnsi="宋体" w:eastAsia="宋体" w:cs="宋体"/>
          <w:sz w:val="21"/>
          <w:szCs w:val="21"/>
        </w:rPr>
        <w:t>1.9 踏勘现场</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A25F017">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1.9.1 供应商须知前附表规定组织踏勘现场的，采购人按供应商须知前附表规定的时间、地点组织供应商踏勘项目现场。部分供应商未按时参加踏勘现场的，不影响踏勘现场的正常进行。</w:t>
      </w:r>
    </w:p>
    <w:p w14:paraId="4935BEC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1.9.2 供应商踏勘现场发生的费用自理。</w:t>
      </w:r>
    </w:p>
    <w:p w14:paraId="7A9BB808">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1.9.3 除采购人的原因外，供应商自行负责在踏勘现场中所发生的人员伤亡和财产损失。</w:t>
      </w:r>
    </w:p>
    <w:p w14:paraId="3ADCF602">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1.9.4 采购人在踏勘现场中介绍的工程场地和相关的周边环境情况，供供应商在编制</w:t>
      </w:r>
      <w:r>
        <w:rPr>
          <w:rFonts w:hint="eastAsia" w:ascii="宋体" w:hAnsi="宋体" w:eastAsia="宋体" w:cs="宋体"/>
          <w:szCs w:val="21"/>
          <w:lang w:eastAsia="zh-CN"/>
        </w:rPr>
        <w:t>响应文件</w:t>
      </w:r>
      <w:r>
        <w:rPr>
          <w:rFonts w:hint="eastAsia" w:ascii="宋体" w:hAnsi="宋体" w:eastAsia="宋体" w:cs="宋体"/>
          <w:szCs w:val="21"/>
        </w:rPr>
        <w:t>时参考，采购人不对供应商据此作出的判断和决策负责。</w:t>
      </w:r>
    </w:p>
    <w:p w14:paraId="3B33A521">
      <w:pPr>
        <w:pStyle w:val="5"/>
        <w:spacing w:before="0" w:after="0" w:line="360" w:lineRule="exact"/>
        <w:ind w:firstLine="420" w:firstLineChars="200"/>
        <w:jc w:val="left"/>
        <w:rPr>
          <w:rFonts w:ascii="宋体" w:hAnsi="宋体" w:eastAsia="宋体" w:cs="宋体"/>
          <w:sz w:val="21"/>
          <w:szCs w:val="21"/>
        </w:rPr>
      </w:pPr>
      <w:bookmarkStart w:id="151" w:name="_Toc25974"/>
      <w:bookmarkStart w:id="152" w:name="_Toc80884462"/>
      <w:bookmarkStart w:id="153" w:name="_Toc16407"/>
      <w:bookmarkStart w:id="154" w:name="_Toc69937164"/>
      <w:bookmarkStart w:id="155" w:name="_Toc74125890"/>
      <w:bookmarkStart w:id="156" w:name="_Toc30155"/>
      <w:r>
        <w:rPr>
          <w:rFonts w:hint="eastAsia" w:ascii="宋体" w:hAnsi="宋体" w:eastAsia="宋体" w:cs="宋体"/>
          <w:sz w:val="21"/>
          <w:szCs w:val="21"/>
        </w:rPr>
        <w:t>1.10</w:t>
      </w:r>
      <w:bookmarkEnd w:id="151"/>
      <w:r>
        <w:rPr>
          <w:rFonts w:hint="eastAsia" w:ascii="宋体" w:hAnsi="宋体" w:eastAsia="宋体" w:cs="宋体"/>
          <w:sz w:val="21"/>
          <w:szCs w:val="21"/>
          <w:lang w:eastAsia="zh-CN"/>
        </w:rPr>
        <w:t>谈判</w:t>
      </w:r>
      <w:r>
        <w:rPr>
          <w:rFonts w:hint="eastAsia" w:ascii="宋体" w:hAnsi="宋体" w:eastAsia="宋体" w:cs="宋体"/>
          <w:sz w:val="21"/>
          <w:szCs w:val="21"/>
        </w:rPr>
        <w:t>预备会</w:t>
      </w:r>
      <w:bookmarkEnd w:id="152"/>
      <w:bookmarkEnd w:id="153"/>
      <w:bookmarkEnd w:id="154"/>
      <w:bookmarkEnd w:id="155"/>
      <w:bookmarkEnd w:id="156"/>
    </w:p>
    <w:p w14:paraId="1BCEE671">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1.10.1 供应商须知前附表规定召开</w:t>
      </w:r>
      <w:r>
        <w:rPr>
          <w:rFonts w:hint="eastAsia" w:ascii="宋体" w:hAnsi="宋体" w:eastAsia="宋体" w:cs="宋体"/>
          <w:szCs w:val="21"/>
          <w:lang w:eastAsia="zh-CN"/>
        </w:rPr>
        <w:t>谈判</w:t>
      </w:r>
      <w:r>
        <w:rPr>
          <w:rFonts w:hint="eastAsia" w:ascii="宋体" w:hAnsi="宋体" w:eastAsia="宋体" w:cs="宋体"/>
          <w:szCs w:val="21"/>
        </w:rPr>
        <w:t>预备会的，采购人按供应商须知前附表规定的时间和地点召开</w:t>
      </w:r>
      <w:r>
        <w:rPr>
          <w:rFonts w:hint="eastAsia" w:ascii="宋体" w:hAnsi="宋体" w:eastAsia="宋体" w:cs="宋体"/>
          <w:szCs w:val="21"/>
          <w:lang w:eastAsia="zh-CN"/>
        </w:rPr>
        <w:t>谈判</w:t>
      </w:r>
      <w:r>
        <w:rPr>
          <w:rFonts w:hint="eastAsia" w:ascii="宋体" w:hAnsi="宋体" w:eastAsia="宋体" w:cs="宋体"/>
          <w:szCs w:val="21"/>
        </w:rPr>
        <w:t>预备会，澄清供应商提出的问题。</w:t>
      </w:r>
    </w:p>
    <w:p w14:paraId="706A6F12">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1.10.2 供应商应按供应商须知前附表规定的时间和形式将提出的问题送达采购人，以便采购人在会议期间澄清。</w:t>
      </w:r>
    </w:p>
    <w:p w14:paraId="3A217D6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1.10.3 </w:t>
      </w:r>
      <w:r>
        <w:rPr>
          <w:rFonts w:hint="eastAsia" w:ascii="宋体" w:hAnsi="宋体" w:eastAsia="宋体" w:cs="宋体"/>
          <w:szCs w:val="21"/>
          <w:lang w:eastAsia="zh-CN"/>
        </w:rPr>
        <w:t>谈判</w:t>
      </w:r>
      <w:r>
        <w:rPr>
          <w:rFonts w:hint="eastAsia" w:ascii="宋体" w:hAnsi="宋体" w:eastAsia="宋体" w:cs="宋体"/>
          <w:szCs w:val="21"/>
        </w:rPr>
        <w:t>预备会后，采购人将对供应商所提问题的澄清，以供应商须知前附表规定的形式通知所有购买</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的供应商。该澄清内容为</w:t>
      </w:r>
      <w:r>
        <w:rPr>
          <w:rFonts w:hint="eastAsia" w:ascii="宋体" w:hAnsi="宋体" w:eastAsia="宋体" w:cs="宋体"/>
          <w:szCs w:val="21"/>
          <w:lang w:eastAsia="zh-CN"/>
        </w:rPr>
        <w:t>响应文件</w:t>
      </w:r>
      <w:r>
        <w:rPr>
          <w:rFonts w:hint="eastAsia" w:ascii="宋体" w:hAnsi="宋体" w:eastAsia="宋体" w:cs="宋体"/>
          <w:szCs w:val="21"/>
        </w:rPr>
        <w:t>的组成部分。</w:t>
      </w:r>
    </w:p>
    <w:p w14:paraId="4DD5AE70">
      <w:pPr>
        <w:pStyle w:val="5"/>
        <w:spacing w:before="0" w:after="0" w:line="360" w:lineRule="exact"/>
        <w:ind w:firstLine="420" w:firstLineChars="200"/>
        <w:jc w:val="left"/>
        <w:rPr>
          <w:rFonts w:ascii="宋体" w:hAnsi="宋体" w:eastAsia="宋体" w:cs="宋体"/>
          <w:sz w:val="21"/>
          <w:szCs w:val="21"/>
        </w:rPr>
      </w:pPr>
      <w:bookmarkStart w:id="157" w:name="_Toc74125891"/>
      <w:bookmarkStart w:id="158" w:name="_Toc69937165"/>
      <w:bookmarkStart w:id="159" w:name="_Toc24855"/>
      <w:bookmarkStart w:id="160" w:name="_Toc18980"/>
      <w:bookmarkStart w:id="161" w:name="_Toc13178"/>
      <w:bookmarkStart w:id="162" w:name="_Toc80884463"/>
      <w:r>
        <w:rPr>
          <w:rFonts w:hint="eastAsia" w:ascii="宋体" w:hAnsi="宋体" w:eastAsia="宋体" w:cs="宋体"/>
          <w:sz w:val="21"/>
          <w:szCs w:val="21"/>
        </w:rPr>
        <w:t>1.11 分包</w:t>
      </w:r>
      <w:bookmarkEnd w:id="157"/>
      <w:bookmarkEnd w:id="158"/>
      <w:bookmarkEnd w:id="159"/>
      <w:bookmarkEnd w:id="160"/>
      <w:bookmarkEnd w:id="161"/>
      <w:bookmarkEnd w:id="162"/>
    </w:p>
    <w:p w14:paraId="4CD25308">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1.11.1 供应商拟在成交后将成交项目的非主体、非关键性设计工作进行分包的，应符合供应商须知前附表规定的分包内容、分包金额和资质要求等限制性条件，除供应商须知前附表规定的非主体、非关键性设计工作外，其他工作不得分包。 </w:t>
      </w:r>
    </w:p>
    <w:p w14:paraId="10DFAC8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1.11.2成交供应商不得向他人转让成交项目，接受分包的人不得再次分包。成交供应商应当就分包项目向采购人负责，接受分包的人就分包项目承担连带责任。</w:t>
      </w:r>
    </w:p>
    <w:p w14:paraId="171A61B7">
      <w:pPr>
        <w:pStyle w:val="5"/>
        <w:spacing w:before="0" w:after="0" w:line="360" w:lineRule="exact"/>
        <w:ind w:firstLine="420" w:firstLineChars="200"/>
        <w:jc w:val="left"/>
        <w:rPr>
          <w:rFonts w:ascii="宋体" w:hAnsi="宋体" w:eastAsia="宋体" w:cs="宋体"/>
          <w:sz w:val="21"/>
          <w:szCs w:val="21"/>
        </w:rPr>
      </w:pPr>
      <w:bookmarkStart w:id="163" w:name="_Toc3142"/>
      <w:bookmarkStart w:id="164" w:name="_Toc80884464"/>
      <w:bookmarkStart w:id="165" w:name="_Toc74125892"/>
      <w:bookmarkStart w:id="166" w:name="_Toc3996"/>
      <w:bookmarkStart w:id="167" w:name="_Toc69937166"/>
      <w:bookmarkStart w:id="168" w:name="_Toc9210"/>
      <w:r>
        <w:rPr>
          <w:rFonts w:hint="eastAsia" w:ascii="宋体" w:hAnsi="宋体" w:eastAsia="宋体" w:cs="宋体"/>
          <w:sz w:val="21"/>
          <w:szCs w:val="21"/>
        </w:rPr>
        <w:t>1.12响应和偏差</w:t>
      </w:r>
      <w:bookmarkEnd w:id="163"/>
      <w:bookmarkEnd w:id="164"/>
      <w:bookmarkEnd w:id="165"/>
      <w:bookmarkEnd w:id="166"/>
      <w:bookmarkEnd w:id="167"/>
      <w:bookmarkEnd w:id="168"/>
    </w:p>
    <w:p w14:paraId="7A2177B3">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1.12.1</w:t>
      </w:r>
      <w:r>
        <w:rPr>
          <w:rFonts w:hint="eastAsia" w:ascii="宋体" w:hAnsi="宋体" w:eastAsia="宋体" w:cs="宋体"/>
          <w:szCs w:val="21"/>
          <w:lang w:eastAsia="zh-CN"/>
        </w:rPr>
        <w:t>响应文件</w:t>
      </w:r>
      <w:r>
        <w:rPr>
          <w:rFonts w:hint="eastAsia" w:ascii="宋体" w:hAnsi="宋体" w:eastAsia="宋体" w:cs="宋体"/>
          <w:szCs w:val="21"/>
        </w:rPr>
        <w:t>应当对</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的实质性要求和条件作出满足性或更有利于采购人的响应，否则，供应商的</w:t>
      </w:r>
      <w:r>
        <w:rPr>
          <w:rFonts w:hint="eastAsia" w:ascii="宋体" w:hAnsi="宋体" w:eastAsia="宋体" w:cs="宋体"/>
          <w:szCs w:val="21"/>
          <w:lang w:eastAsia="zh-CN"/>
        </w:rPr>
        <w:t>响应</w:t>
      </w:r>
      <w:r>
        <w:rPr>
          <w:rFonts w:hint="eastAsia" w:ascii="宋体" w:hAnsi="宋体" w:eastAsia="宋体" w:cs="宋体"/>
          <w:szCs w:val="21"/>
        </w:rPr>
        <w:t>将被否决。实质性要求和条件见供应商须知前附表。</w:t>
      </w:r>
    </w:p>
    <w:p w14:paraId="7AABEA8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1.12.2 供应商应根据</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的要求提供</w:t>
      </w:r>
      <w:r>
        <w:rPr>
          <w:rFonts w:hint="eastAsia" w:ascii="宋体" w:hAnsi="宋体" w:eastAsia="宋体" w:cs="宋体"/>
          <w:szCs w:val="21"/>
          <w:lang w:eastAsia="zh-CN"/>
        </w:rPr>
        <w:t>工作</w:t>
      </w:r>
      <w:r>
        <w:rPr>
          <w:rFonts w:hint="eastAsia" w:ascii="宋体" w:hAnsi="宋体" w:eastAsia="宋体" w:cs="宋体"/>
          <w:szCs w:val="21"/>
        </w:rPr>
        <w:t>方案等内容以对</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作出响应。</w:t>
      </w:r>
    </w:p>
    <w:p w14:paraId="4AD347B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1.12.3供应商须知前附表允许</w:t>
      </w:r>
      <w:r>
        <w:rPr>
          <w:rFonts w:hint="eastAsia" w:ascii="宋体" w:hAnsi="宋体" w:eastAsia="宋体" w:cs="宋体"/>
          <w:szCs w:val="21"/>
          <w:lang w:eastAsia="zh-CN"/>
        </w:rPr>
        <w:t>响应文件</w:t>
      </w:r>
      <w:r>
        <w:rPr>
          <w:rFonts w:hint="eastAsia" w:ascii="宋体" w:hAnsi="宋体" w:eastAsia="宋体" w:cs="宋体"/>
          <w:szCs w:val="21"/>
        </w:rPr>
        <w:t>偏离</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某些要求的，偏差应当符合</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规定的偏差范围和幅度。</w:t>
      </w:r>
    </w:p>
    <w:p w14:paraId="7E8DFA48">
      <w:pPr>
        <w:pStyle w:val="4"/>
        <w:spacing w:before="0" w:after="0" w:line="360" w:lineRule="exact"/>
        <w:jc w:val="left"/>
        <w:rPr>
          <w:rFonts w:hint="eastAsia" w:ascii="宋体" w:hAnsi="宋体" w:eastAsia="宋体" w:cs="宋体"/>
          <w:sz w:val="21"/>
          <w:szCs w:val="21"/>
          <w:lang w:eastAsia="zh-CN"/>
        </w:rPr>
      </w:pPr>
      <w:bookmarkStart w:id="169" w:name="_Toc1909"/>
      <w:bookmarkStart w:id="170" w:name="_Toc9282"/>
      <w:bookmarkStart w:id="171" w:name="_Toc80884465"/>
      <w:bookmarkStart w:id="172" w:name="_Toc69937167"/>
      <w:bookmarkStart w:id="173" w:name="_Toc74125893"/>
      <w:bookmarkStart w:id="174" w:name="_Toc8946"/>
      <w:r>
        <w:rPr>
          <w:rFonts w:hint="eastAsia" w:ascii="宋体" w:hAnsi="宋体" w:eastAsia="宋体" w:cs="宋体"/>
          <w:sz w:val="21"/>
          <w:szCs w:val="21"/>
        </w:rPr>
        <w:t xml:space="preserve">2. </w:t>
      </w:r>
      <w:bookmarkEnd w:id="169"/>
      <w:bookmarkEnd w:id="170"/>
      <w:bookmarkEnd w:id="171"/>
      <w:bookmarkEnd w:id="172"/>
      <w:bookmarkEnd w:id="173"/>
      <w:bookmarkEnd w:id="174"/>
      <w:r>
        <w:rPr>
          <w:rFonts w:hint="eastAsia" w:ascii="宋体" w:hAnsi="宋体" w:eastAsia="宋体" w:cs="宋体"/>
          <w:sz w:val="21"/>
          <w:szCs w:val="21"/>
          <w:lang w:eastAsia="zh-CN"/>
        </w:rPr>
        <w:t>竞争谈判文件</w:t>
      </w:r>
    </w:p>
    <w:p w14:paraId="692D3703">
      <w:pPr>
        <w:pStyle w:val="5"/>
        <w:spacing w:before="0" w:after="0" w:line="360" w:lineRule="exact"/>
        <w:ind w:firstLine="420" w:firstLineChars="200"/>
        <w:jc w:val="left"/>
        <w:rPr>
          <w:rFonts w:ascii="宋体" w:hAnsi="宋体" w:eastAsia="宋体" w:cs="宋体"/>
          <w:sz w:val="21"/>
          <w:szCs w:val="21"/>
        </w:rPr>
      </w:pPr>
      <w:bookmarkStart w:id="175" w:name="_Toc18666"/>
      <w:bookmarkStart w:id="176" w:name="_Toc80884466"/>
      <w:bookmarkStart w:id="177" w:name="_Toc74125894"/>
      <w:bookmarkStart w:id="178" w:name="_Toc700"/>
      <w:bookmarkStart w:id="179" w:name="_Toc69937168"/>
      <w:bookmarkStart w:id="180" w:name="_Toc27108"/>
      <w:r>
        <w:rPr>
          <w:rFonts w:hint="eastAsia" w:ascii="宋体" w:hAnsi="宋体" w:eastAsia="宋体" w:cs="宋体"/>
          <w:sz w:val="21"/>
          <w:szCs w:val="21"/>
        </w:rPr>
        <w:t xml:space="preserve">2.1 </w:t>
      </w:r>
      <w:r>
        <w:rPr>
          <w:rFonts w:hint="eastAsia" w:ascii="宋体" w:hAnsi="宋体" w:eastAsia="宋体" w:cs="宋体"/>
          <w:sz w:val="21"/>
          <w:szCs w:val="21"/>
          <w:lang w:eastAsia="zh-CN"/>
        </w:rPr>
        <w:t>竞争谈判文件</w:t>
      </w:r>
      <w:r>
        <w:rPr>
          <w:rFonts w:hint="eastAsia" w:ascii="宋体" w:hAnsi="宋体" w:eastAsia="宋体" w:cs="宋体"/>
          <w:sz w:val="21"/>
          <w:szCs w:val="21"/>
        </w:rPr>
        <w:t>的组成</w:t>
      </w:r>
      <w:bookmarkEnd w:id="175"/>
      <w:bookmarkEnd w:id="176"/>
      <w:bookmarkEnd w:id="177"/>
      <w:bookmarkEnd w:id="178"/>
      <w:bookmarkEnd w:id="179"/>
      <w:bookmarkEnd w:id="180"/>
    </w:p>
    <w:p w14:paraId="2530C0A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本</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包括：</w:t>
      </w:r>
    </w:p>
    <w:p w14:paraId="0CC8E387">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w:t>
      </w:r>
      <w:r>
        <w:rPr>
          <w:rFonts w:hint="eastAsia" w:ascii="宋体" w:hAnsi="宋体" w:cs="宋体"/>
          <w:szCs w:val="21"/>
          <w:lang w:eastAsia="zh-CN"/>
        </w:rPr>
        <w:t>竞争谈判</w:t>
      </w:r>
      <w:r>
        <w:rPr>
          <w:rFonts w:hint="eastAsia" w:ascii="宋体" w:hAnsi="宋体" w:eastAsia="宋体" w:cs="宋体"/>
          <w:szCs w:val="21"/>
          <w:lang w:val="en-US" w:eastAsia="zh-CN"/>
        </w:rPr>
        <w:t>公告</w:t>
      </w:r>
      <w:r>
        <w:rPr>
          <w:rFonts w:hint="eastAsia" w:ascii="宋体" w:hAnsi="宋体" w:eastAsia="宋体" w:cs="宋体"/>
          <w:szCs w:val="21"/>
        </w:rPr>
        <w:t>；</w:t>
      </w:r>
    </w:p>
    <w:p w14:paraId="05F0CEC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（2）供应商须知；</w:t>
      </w:r>
    </w:p>
    <w:p w14:paraId="2CF8D470">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（3）评审办法；</w:t>
      </w:r>
    </w:p>
    <w:p w14:paraId="260F1E8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（4）合同条款及格式；</w:t>
      </w:r>
    </w:p>
    <w:p w14:paraId="08C5653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（5）发包人要求；</w:t>
      </w:r>
    </w:p>
    <w:p w14:paraId="797438B4">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（6）</w:t>
      </w:r>
      <w:r>
        <w:rPr>
          <w:rFonts w:hint="eastAsia" w:ascii="宋体" w:hAnsi="宋体" w:eastAsia="宋体" w:cs="宋体"/>
          <w:szCs w:val="21"/>
          <w:lang w:eastAsia="zh-CN"/>
        </w:rPr>
        <w:t>响应文件</w:t>
      </w:r>
      <w:r>
        <w:rPr>
          <w:rFonts w:hint="eastAsia" w:ascii="宋体" w:hAnsi="宋体" w:eastAsia="宋体" w:cs="宋体"/>
          <w:szCs w:val="21"/>
        </w:rPr>
        <w:t>格式；</w:t>
      </w:r>
    </w:p>
    <w:p w14:paraId="4EE2756F">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（7）供应商须知前附表规定的其他资料。</w:t>
      </w:r>
    </w:p>
    <w:p w14:paraId="14E0E8E2">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根据本章第1.10款、第2.2款和第2.3款对</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所作的澄清、修改，构成</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的组成部分。</w:t>
      </w:r>
    </w:p>
    <w:p w14:paraId="0DC7A902">
      <w:pPr>
        <w:pStyle w:val="5"/>
        <w:spacing w:before="0" w:after="0" w:line="360" w:lineRule="exact"/>
        <w:ind w:firstLine="420" w:firstLineChars="200"/>
        <w:jc w:val="left"/>
        <w:rPr>
          <w:rFonts w:ascii="宋体" w:hAnsi="宋体" w:eastAsia="宋体" w:cs="宋体"/>
          <w:sz w:val="21"/>
          <w:szCs w:val="21"/>
        </w:rPr>
      </w:pPr>
      <w:bookmarkStart w:id="181" w:name="_Toc80884467"/>
      <w:bookmarkStart w:id="182" w:name="_Toc28493"/>
      <w:bookmarkStart w:id="183" w:name="_Toc74125895"/>
      <w:bookmarkStart w:id="184" w:name="_Toc22676"/>
      <w:bookmarkStart w:id="185" w:name="_Toc69937169"/>
      <w:bookmarkStart w:id="186" w:name="_Toc16645"/>
      <w:r>
        <w:rPr>
          <w:rFonts w:hint="eastAsia" w:ascii="宋体" w:hAnsi="宋体" w:eastAsia="宋体" w:cs="宋体"/>
          <w:sz w:val="21"/>
          <w:szCs w:val="21"/>
        </w:rPr>
        <w:t xml:space="preserve">2.2 </w:t>
      </w:r>
      <w:r>
        <w:rPr>
          <w:rFonts w:hint="eastAsia" w:ascii="宋体" w:hAnsi="宋体" w:eastAsia="宋体" w:cs="宋体"/>
          <w:sz w:val="21"/>
          <w:szCs w:val="21"/>
          <w:lang w:eastAsia="zh-CN"/>
        </w:rPr>
        <w:t>竞争谈判文件</w:t>
      </w:r>
      <w:r>
        <w:rPr>
          <w:rFonts w:hint="eastAsia" w:ascii="宋体" w:hAnsi="宋体" w:eastAsia="宋体" w:cs="宋体"/>
          <w:sz w:val="21"/>
          <w:szCs w:val="21"/>
        </w:rPr>
        <w:t>的澄清</w:t>
      </w:r>
      <w:bookmarkEnd w:id="181"/>
      <w:bookmarkEnd w:id="182"/>
      <w:bookmarkEnd w:id="183"/>
      <w:bookmarkEnd w:id="184"/>
      <w:bookmarkEnd w:id="185"/>
      <w:bookmarkEnd w:id="186"/>
    </w:p>
    <w:p w14:paraId="2FF9DC33">
      <w:pPr>
        <w:spacing w:line="360" w:lineRule="exact"/>
        <w:ind w:firstLine="420" w:firstLineChars="200"/>
        <w:jc w:val="left"/>
        <w:rPr>
          <w:rFonts w:ascii="宋体" w:hAnsi="宋体"/>
          <w:szCs w:val="21"/>
        </w:rPr>
      </w:pPr>
      <w:bookmarkStart w:id="187" w:name="_Toc15581"/>
      <w:bookmarkStart w:id="188" w:name="_Toc352691479"/>
      <w:r>
        <w:rPr>
          <w:rFonts w:ascii="宋体" w:hAnsi="宋体"/>
          <w:szCs w:val="21"/>
        </w:rPr>
        <w:t xml:space="preserve">2.2.1 </w:t>
      </w:r>
      <w:r>
        <w:rPr>
          <w:rFonts w:hint="eastAsia" w:ascii="宋体" w:hAnsi="宋体"/>
          <w:szCs w:val="21"/>
        </w:rPr>
        <w:t>供应商</w:t>
      </w:r>
      <w:r>
        <w:rPr>
          <w:rFonts w:ascii="宋体" w:hAnsi="宋体"/>
          <w:szCs w:val="21"/>
        </w:rPr>
        <w:t>应仔细阅读和检查</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的全部内容。如发现缺页或附件不全，应及时向</w:t>
      </w:r>
      <w:r>
        <w:rPr>
          <w:rFonts w:hint="eastAsia" w:ascii="宋体" w:hAnsi="宋体"/>
          <w:szCs w:val="21"/>
        </w:rPr>
        <w:t>采购人</w:t>
      </w:r>
      <w:r>
        <w:rPr>
          <w:rFonts w:ascii="宋体" w:hAnsi="宋体"/>
          <w:szCs w:val="21"/>
        </w:rPr>
        <w:t>提出，以便补齐。如有疑问，应按</w:t>
      </w:r>
      <w:r>
        <w:rPr>
          <w:rFonts w:hint="eastAsia" w:ascii="宋体" w:hAnsi="宋体"/>
          <w:szCs w:val="21"/>
        </w:rPr>
        <w:t>供应商</w:t>
      </w:r>
      <w:r>
        <w:rPr>
          <w:rFonts w:ascii="宋体" w:hAnsi="宋体"/>
          <w:szCs w:val="21"/>
        </w:rPr>
        <w:t>须知前附表规定的时间和形式将提出的问题送达</w:t>
      </w:r>
      <w:r>
        <w:rPr>
          <w:rFonts w:hint="eastAsia" w:ascii="宋体" w:hAnsi="宋体"/>
          <w:szCs w:val="21"/>
        </w:rPr>
        <w:t>采购人</w:t>
      </w:r>
      <w:r>
        <w:rPr>
          <w:rFonts w:ascii="宋体" w:hAnsi="宋体"/>
          <w:szCs w:val="21"/>
        </w:rPr>
        <w:t>，要求</w:t>
      </w:r>
      <w:r>
        <w:rPr>
          <w:rFonts w:hint="eastAsia" w:ascii="宋体" w:hAnsi="宋体"/>
          <w:szCs w:val="21"/>
        </w:rPr>
        <w:t>采购人</w:t>
      </w:r>
      <w:r>
        <w:rPr>
          <w:rFonts w:ascii="宋体" w:hAnsi="宋体"/>
          <w:szCs w:val="21"/>
        </w:rPr>
        <w:t>对</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予以澄清。</w:t>
      </w:r>
    </w:p>
    <w:p w14:paraId="00FBE937">
      <w:pPr>
        <w:spacing w:line="360" w:lineRule="exact"/>
        <w:ind w:firstLine="420" w:firstLineChars="200"/>
        <w:jc w:val="left"/>
        <w:rPr>
          <w:rFonts w:ascii="宋体" w:hAnsi="宋体"/>
          <w:szCs w:val="21"/>
        </w:rPr>
      </w:pPr>
      <w:r>
        <w:rPr>
          <w:rFonts w:ascii="宋体" w:hAnsi="宋体"/>
          <w:szCs w:val="21"/>
        </w:rPr>
        <w:t xml:space="preserve">2.2.2 </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的澄清以</w:t>
      </w:r>
      <w:r>
        <w:rPr>
          <w:rFonts w:hint="eastAsia" w:ascii="宋体" w:hAnsi="宋体"/>
          <w:szCs w:val="21"/>
        </w:rPr>
        <w:t>供应商</w:t>
      </w:r>
      <w:r>
        <w:rPr>
          <w:rFonts w:ascii="宋体" w:hAnsi="宋体"/>
          <w:szCs w:val="21"/>
        </w:rPr>
        <w:t>须知前附表规定的形式发给所有</w:t>
      </w:r>
      <w:r>
        <w:rPr>
          <w:rFonts w:hint="eastAsia" w:ascii="宋体" w:hAnsi="宋体"/>
          <w:szCs w:val="21"/>
        </w:rPr>
        <w:t>供应商</w:t>
      </w:r>
      <w:r>
        <w:rPr>
          <w:rFonts w:ascii="宋体" w:hAnsi="宋体"/>
          <w:szCs w:val="21"/>
        </w:rPr>
        <w:t>，但不指明澄清问题的来源。</w:t>
      </w:r>
    </w:p>
    <w:p w14:paraId="3903C078">
      <w:pPr>
        <w:spacing w:line="360" w:lineRule="exact"/>
        <w:ind w:firstLine="420" w:firstLineChars="200"/>
        <w:jc w:val="left"/>
        <w:rPr>
          <w:rFonts w:ascii="宋体" w:hAnsi="宋体"/>
          <w:szCs w:val="21"/>
        </w:rPr>
      </w:pPr>
      <w:r>
        <w:rPr>
          <w:rFonts w:ascii="宋体" w:hAnsi="宋体"/>
          <w:szCs w:val="21"/>
        </w:rPr>
        <w:t xml:space="preserve">2.2.3 </w:t>
      </w:r>
      <w:r>
        <w:rPr>
          <w:rFonts w:hint="eastAsia" w:ascii="宋体" w:hAnsi="宋体"/>
          <w:szCs w:val="21"/>
        </w:rPr>
        <w:t>供应商</w:t>
      </w:r>
      <w:r>
        <w:rPr>
          <w:rFonts w:ascii="宋体" w:hAnsi="宋体"/>
          <w:szCs w:val="21"/>
        </w:rPr>
        <w:t>在收到澄清后，应按</w:t>
      </w:r>
      <w:r>
        <w:rPr>
          <w:rFonts w:hint="eastAsia" w:ascii="宋体" w:hAnsi="宋体"/>
          <w:szCs w:val="21"/>
        </w:rPr>
        <w:t>供应商</w:t>
      </w:r>
      <w:r>
        <w:rPr>
          <w:rFonts w:ascii="宋体" w:hAnsi="宋体"/>
          <w:szCs w:val="21"/>
        </w:rPr>
        <w:t>须知前附表规定的时间和形式通知</w:t>
      </w:r>
      <w:r>
        <w:rPr>
          <w:rFonts w:hint="eastAsia" w:ascii="宋体" w:hAnsi="宋体"/>
          <w:szCs w:val="21"/>
        </w:rPr>
        <w:t>采购人</w:t>
      </w:r>
      <w:r>
        <w:rPr>
          <w:rFonts w:ascii="宋体" w:hAnsi="宋体"/>
          <w:szCs w:val="21"/>
        </w:rPr>
        <w:t>，确认已收到该澄清。</w:t>
      </w:r>
    </w:p>
    <w:p w14:paraId="7890AF3F">
      <w:pPr>
        <w:spacing w:line="360" w:lineRule="exact"/>
        <w:ind w:firstLine="420" w:firstLineChars="200"/>
        <w:jc w:val="left"/>
        <w:rPr>
          <w:rFonts w:ascii="宋体" w:hAnsi="宋体"/>
          <w:szCs w:val="21"/>
        </w:rPr>
      </w:pPr>
      <w:r>
        <w:rPr>
          <w:rFonts w:ascii="宋体" w:hAnsi="宋体"/>
          <w:szCs w:val="21"/>
        </w:rPr>
        <w:t>2.2.4 除非</w:t>
      </w:r>
      <w:r>
        <w:rPr>
          <w:rFonts w:hint="eastAsia" w:ascii="宋体" w:hAnsi="宋体"/>
          <w:szCs w:val="21"/>
        </w:rPr>
        <w:t>采购人</w:t>
      </w:r>
      <w:r>
        <w:rPr>
          <w:rFonts w:ascii="宋体" w:hAnsi="宋体"/>
          <w:szCs w:val="21"/>
        </w:rPr>
        <w:t>认为确有必要答复，否则，</w:t>
      </w:r>
      <w:r>
        <w:rPr>
          <w:rFonts w:hint="eastAsia" w:ascii="宋体" w:hAnsi="宋体"/>
          <w:szCs w:val="21"/>
        </w:rPr>
        <w:t>采购人</w:t>
      </w:r>
      <w:r>
        <w:rPr>
          <w:rFonts w:ascii="宋体" w:hAnsi="宋体"/>
          <w:szCs w:val="21"/>
        </w:rPr>
        <w:t>有权拒绝回复</w:t>
      </w:r>
      <w:r>
        <w:rPr>
          <w:rFonts w:hint="eastAsia" w:ascii="宋体" w:hAnsi="宋体"/>
          <w:szCs w:val="21"/>
        </w:rPr>
        <w:t>供应商</w:t>
      </w:r>
      <w:r>
        <w:rPr>
          <w:rFonts w:ascii="宋体" w:hAnsi="宋体"/>
          <w:szCs w:val="21"/>
        </w:rPr>
        <w:t>在本章第 2.2.1 项规定的时间后的任何澄清要求。</w:t>
      </w:r>
    </w:p>
    <w:p w14:paraId="45BFA4AC">
      <w:pPr>
        <w:pStyle w:val="5"/>
        <w:spacing w:before="0" w:after="0" w:line="360" w:lineRule="exact"/>
        <w:ind w:firstLine="420" w:firstLineChars="200"/>
        <w:jc w:val="left"/>
        <w:rPr>
          <w:rFonts w:ascii="宋体" w:hAnsi="宋体" w:eastAsia="宋体" w:cs="宋体"/>
          <w:sz w:val="21"/>
          <w:szCs w:val="21"/>
        </w:rPr>
      </w:pPr>
      <w:bookmarkStart w:id="189" w:name="_Toc80884468"/>
      <w:bookmarkStart w:id="190" w:name="_Toc74125896"/>
      <w:bookmarkStart w:id="191" w:name="_Toc21693"/>
      <w:bookmarkStart w:id="192" w:name="_Toc69937170"/>
      <w:bookmarkStart w:id="193" w:name="_Toc24527"/>
      <w:r>
        <w:rPr>
          <w:rFonts w:hint="eastAsia" w:ascii="宋体" w:hAnsi="宋体" w:eastAsia="宋体" w:cs="宋体"/>
          <w:sz w:val="21"/>
          <w:szCs w:val="21"/>
        </w:rPr>
        <w:t xml:space="preserve">2.3 </w:t>
      </w:r>
      <w:r>
        <w:rPr>
          <w:rFonts w:hint="eastAsia" w:ascii="宋体" w:hAnsi="宋体" w:eastAsia="宋体" w:cs="宋体"/>
          <w:sz w:val="21"/>
          <w:szCs w:val="21"/>
          <w:lang w:eastAsia="zh-CN"/>
        </w:rPr>
        <w:t>竞争谈判文件</w:t>
      </w:r>
      <w:r>
        <w:rPr>
          <w:rFonts w:hint="eastAsia" w:ascii="宋体" w:hAnsi="宋体" w:eastAsia="宋体" w:cs="宋体"/>
          <w:sz w:val="21"/>
          <w:szCs w:val="21"/>
        </w:rPr>
        <w:t>的修</w:t>
      </w:r>
      <w:bookmarkStart w:id="194" w:name="_Toc16514"/>
      <w:bookmarkStart w:id="195" w:name="_Toc369531521"/>
      <w:r>
        <w:rPr>
          <w:rFonts w:hint="eastAsia" w:ascii="宋体" w:hAnsi="宋体" w:eastAsia="宋体" w:cs="宋体"/>
          <w:sz w:val="21"/>
          <w:szCs w:val="21"/>
        </w:rPr>
        <w:t>改</w:t>
      </w:r>
      <w:bookmarkEnd w:id="187"/>
      <w:bookmarkEnd w:id="189"/>
      <w:bookmarkEnd w:id="190"/>
      <w:bookmarkEnd w:id="191"/>
      <w:bookmarkEnd w:id="192"/>
      <w:bookmarkEnd w:id="193"/>
    </w:p>
    <w:bookmarkEnd w:id="188"/>
    <w:bookmarkEnd w:id="194"/>
    <w:bookmarkEnd w:id="195"/>
    <w:p w14:paraId="418B3471">
      <w:pPr>
        <w:spacing w:line="360" w:lineRule="exact"/>
        <w:ind w:firstLine="420" w:firstLineChars="200"/>
        <w:jc w:val="left"/>
        <w:rPr>
          <w:rFonts w:ascii="宋体" w:hAnsi="宋体"/>
          <w:szCs w:val="21"/>
        </w:rPr>
      </w:pPr>
      <w:bookmarkStart w:id="196" w:name="_Toc384308220"/>
      <w:bookmarkStart w:id="197" w:name="_Toc152045540"/>
      <w:bookmarkStart w:id="198" w:name="_Toc352691484"/>
      <w:bookmarkStart w:id="199" w:name="_Toc16623"/>
      <w:bookmarkStart w:id="200" w:name="_Toc369531526"/>
      <w:bookmarkStart w:id="201" w:name="_Toc144974508"/>
      <w:bookmarkStart w:id="202" w:name="_Toc247513963"/>
      <w:bookmarkStart w:id="203" w:name="_Toc152042316"/>
      <w:bookmarkStart w:id="204" w:name="_Toc300834960"/>
      <w:bookmarkStart w:id="205" w:name="_Toc247527564"/>
      <w:bookmarkStart w:id="206" w:name="_Toc361508595"/>
      <w:bookmarkStart w:id="207" w:name="_Toc30284"/>
      <w:r>
        <w:rPr>
          <w:rFonts w:ascii="宋体" w:hAnsi="宋体"/>
          <w:szCs w:val="21"/>
        </w:rPr>
        <w:t xml:space="preserve">2.3.1 </w:t>
      </w:r>
      <w:r>
        <w:rPr>
          <w:rFonts w:hint="eastAsia" w:ascii="宋体" w:hAnsi="宋体"/>
          <w:szCs w:val="21"/>
        </w:rPr>
        <w:t>采购人</w:t>
      </w:r>
      <w:r>
        <w:rPr>
          <w:rFonts w:ascii="宋体" w:hAnsi="宋体"/>
          <w:szCs w:val="21"/>
        </w:rPr>
        <w:t>以</w:t>
      </w:r>
      <w:r>
        <w:rPr>
          <w:rFonts w:hint="eastAsia" w:ascii="宋体" w:hAnsi="宋体"/>
          <w:szCs w:val="21"/>
        </w:rPr>
        <w:t>供应商</w:t>
      </w:r>
      <w:r>
        <w:rPr>
          <w:rFonts w:ascii="宋体" w:hAnsi="宋体"/>
          <w:szCs w:val="21"/>
        </w:rPr>
        <w:t>须知前附表规定的形式修改</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，并通知所有已购买</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的</w:t>
      </w:r>
      <w:r>
        <w:rPr>
          <w:rFonts w:hint="eastAsia" w:ascii="宋体" w:hAnsi="宋体"/>
          <w:szCs w:val="21"/>
        </w:rPr>
        <w:t>供应商</w:t>
      </w:r>
      <w:r>
        <w:rPr>
          <w:rFonts w:ascii="宋体" w:hAnsi="宋体"/>
          <w:szCs w:val="21"/>
        </w:rPr>
        <w:t>。修改</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的时间距本章第 4.2.1 项规定的</w:t>
      </w:r>
      <w:r>
        <w:rPr>
          <w:rFonts w:hint="eastAsia" w:ascii="宋体" w:hAnsi="宋体"/>
          <w:szCs w:val="21"/>
          <w:lang w:eastAsia="zh-CN"/>
        </w:rPr>
        <w:t>谈判</w:t>
      </w:r>
      <w:r>
        <w:rPr>
          <w:rFonts w:ascii="宋体" w:hAnsi="宋体"/>
          <w:szCs w:val="21"/>
        </w:rPr>
        <w:t xml:space="preserve">截止时间不足 </w:t>
      </w:r>
      <w:r>
        <w:rPr>
          <w:rFonts w:hint="eastAsia" w:ascii="宋体" w:hAnsi="宋体"/>
          <w:szCs w:val="21"/>
        </w:rPr>
        <w:t>2</w:t>
      </w:r>
      <w:r>
        <w:rPr>
          <w:rFonts w:ascii="宋体" w:hAnsi="宋体"/>
          <w:szCs w:val="21"/>
        </w:rPr>
        <w:t xml:space="preserve"> 日的，并且修改内容可能影响</w:t>
      </w:r>
      <w:r>
        <w:rPr>
          <w:rFonts w:hint="eastAsia" w:ascii="宋体" w:hAnsi="宋体"/>
          <w:szCs w:val="21"/>
          <w:lang w:eastAsia="zh-CN"/>
        </w:rPr>
        <w:t>响应文件</w:t>
      </w:r>
      <w:r>
        <w:rPr>
          <w:rFonts w:ascii="宋体" w:hAnsi="宋体"/>
          <w:szCs w:val="21"/>
        </w:rPr>
        <w:t>编制的，将相应延长</w:t>
      </w:r>
      <w:r>
        <w:rPr>
          <w:rFonts w:hint="eastAsia" w:ascii="宋体" w:hAnsi="宋体"/>
          <w:szCs w:val="21"/>
          <w:lang w:eastAsia="zh-CN"/>
        </w:rPr>
        <w:t>谈判</w:t>
      </w:r>
      <w:r>
        <w:rPr>
          <w:rFonts w:ascii="宋体" w:hAnsi="宋体"/>
          <w:szCs w:val="21"/>
        </w:rPr>
        <w:t>截止时间。</w:t>
      </w:r>
    </w:p>
    <w:p w14:paraId="66E6A507">
      <w:pPr>
        <w:spacing w:line="360" w:lineRule="exact"/>
        <w:ind w:firstLine="420" w:firstLineChars="200"/>
        <w:jc w:val="left"/>
        <w:rPr>
          <w:rFonts w:eastAsia="Times New Roman"/>
          <w:szCs w:val="21"/>
        </w:rPr>
      </w:pPr>
      <w:r>
        <w:rPr>
          <w:rFonts w:ascii="宋体" w:hAnsi="宋体"/>
          <w:szCs w:val="21"/>
        </w:rPr>
        <w:t xml:space="preserve">2.3.2 </w:t>
      </w:r>
      <w:r>
        <w:rPr>
          <w:rFonts w:hint="eastAsia" w:ascii="宋体" w:hAnsi="宋体"/>
          <w:szCs w:val="21"/>
        </w:rPr>
        <w:t>供应商</w:t>
      </w:r>
      <w:r>
        <w:rPr>
          <w:rFonts w:ascii="宋体" w:hAnsi="宋体"/>
          <w:szCs w:val="21"/>
        </w:rPr>
        <w:t>收到修改内容后，应按</w:t>
      </w:r>
      <w:r>
        <w:rPr>
          <w:rFonts w:hint="eastAsia" w:ascii="宋体" w:hAnsi="宋体"/>
          <w:szCs w:val="21"/>
        </w:rPr>
        <w:t>供应商</w:t>
      </w:r>
      <w:r>
        <w:rPr>
          <w:rFonts w:ascii="宋体" w:hAnsi="宋体"/>
          <w:szCs w:val="21"/>
        </w:rPr>
        <w:t>须知前附表规定的时间和形式通知</w:t>
      </w:r>
      <w:r>
        <w:rPr>
          <w:rFonts w:hint="eastAsia" w:ascii="宋体" w:hAnsi="宋体"/>
          <w:szCs w:val="21"/>
        </w:rPr>
        <w:t>采购人</w:t>
      </w:r>
      <w:r>
        <w:rPr>
          <w:rFonts w:ascii="宋体" w:hAnsi="宋体"/>
          <w:szCs w:val="21"/>
        </w:rPr>
        <w:t>，确认已收到该修改。</w:t>
      </w:r>
    </w:p>
    <w:p w14:paraId="2844E489">
      <w:pPr>
        <w:pStyle w:val="5"/>
        <w:spacing w:before="0" w:after="0" w:line="360" w:lineRule="exact"/>
        <w:ind w:firstLine="420" w:firstLineChars="200"/>
        <w:jc w:val="left"/>
        <w:rPr>
          <w:rFonts w:ascii="宋体" w:hAnsi="宋体" w:eastAsia="宋体" w:cs="宋体"/>
          <w:sz w:val="21"/>
          <w:szCs w:val="21"/>
        </w:rPr>
      </w:pPr>
      <w:bookmarkStart w:id="208" w:name="_Toc16661"/>
      <w:bookmarkStart w:id="209" w:name="_Toc10501"/>
      <w:bookmarkStart w:id="210" w:name="_Toc74125897"/>
      <w:bookmarkStart w:id="211" w:name="_Toc80884469"/>
      <w:bookmarkStart w:id="212" w:name="_Toc69937171"/>
      <w:r>
        <w:rPr>
          <w:rFonts w:hint="eastAsia" w:ascii="宋体" w:hAnsi="宋体" w:eastAsia="宋体" w:cs="宋体"/>
          <w:sz w:val="21"/>
          <w:szCs w:val="21"/>
        </w:rPr>
        <w:t>2.</w:t>
      </w:r>
      <w:bookmarkEnd w:id="196"/>
      <w:bookmarkEnd w:id="197"/>
      <w:bookmarkEnd w:id="198"/>
      <w:bookmarkEnd w:id="199"/>
      <w:bookmarkEnd w:id="200"/>
      <w:bookmarkEnd w:id="201"/>
      <w:bookmarkEnd w:id="202"/>
      <w:bookmarkEnd w:id="203"/>
      <w:bookmarkEnd w:id="204"/>
      <w:bookmarkEnd w:id="205"/>
      <w:bookmarkEnd w:id="206"/>
      <w:r>
        <w:rPr>
          <w:rFonts w:hint="eastAsia" w:ascii="宋体" w:hAnsi="宋体" w:eastAsia="宋体" w:cs="宋体"/>
          <w:sz w:val="21"/>
          <w:szCs w:val="21"/>
        </w:rPr>
        <w:t xml:space="preserve">4 </w:t>
      </w:r>
      <w:r>
        <w:rPr>
          <w:rFonts w:hint="eastAsia" w:ascii="宋体" w:hAnsi="宋体" w:eastAsia="宋体" w:cs="宋体"/>
          <w:sz w:val="21"/>
          <w:szCs w:val="21"/>
          <w:lang w:eastAsia="zh-CN"/>
        </w:rPr>
        <w:t>竞争谈判文件</w:t>
      </w:r>
      <w:r>
        <w:rPr>
          <w:rFonts w:hint="eastAsia" w:ascii="宋体" w:hAnsi="宋体" w:eastAsia="宋体" w:cs="宋体"/>
          <w:sz w:val="21"/>
          <w:szCs w:val="21"/>
        </w:rPr>
        <w:t>的异议</w:t>
      </w:r>
      <w:bookmarkEnd w:id="207"/>
      <w:bookmarkEnd w:id="208"/>
      <w:bookmarkEnd w:id="209"/>
      <w:bookmarkEnd w:id="210"/>
      <w:bookmarkEnd w:id="211"/>
      <w:bookmarkEnd w:id="212"/>
    </w:p>
    <w:p w14:paraId="7ADA24CE">
      <w:pPr>
        <w:spacing w:line="360" w:lineRule="exact"/>
        <w:ind w:firstLine="420" w:firstLineChars="200"/>
        <w:jc w:val="left"/>
        <w:rPr>
          <w:rFonts w:ascii="宋体" w:hAnsi="宋体"/>
          <w:szCs w:val="21"/>
        </w:rPr>
      </w:pPr>
      <w:bookmarkStart w:id="213" w:name="_Toc30404"/>
      <w:r>
        <w:rPr>
          <w:rFonts w:hint="eastAsia" w:ascii="宋体" w:hAnsi="宋体"/>
          <w:szCs w:val="21"/>
        </w:rPr>
        <w:t>供应商</w:t>
      </w:r>
      <w:r>
        <w:rPr>
          <w:rFonts w:ascii="宋体" w:hAnsi="宋体"/>
          <w:szCs w:val="21"/>
        </w:rPr>
        <w:t>或者其他利害关系人对</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有异议的，应当在</w:t>
      </w:r>
      <w:r>
        <w:rPr>
          <w:rFonts w:hint="eastAsia" w:ascii="宋体" w:hAnsi="宋体"/>
          <w:szCs w:val="21"/>
          <w:lang w:eastAsia="zh-CN"/>
        </w:rPr>
        <w:t>谈判</w:t>
      </w:r>
      <w:r>
        <w:rPr>
          <w:rFonts w:ascii="宋体" w:hAnsi="宋体"/>
          <w:szCs w:val="21"/>
        </w:rPr>
        <w:t xml:space="preserve">截止时间 </w:t>
      </w:r>
      <w:r>
        <w:rPr>
          <w:rFonts w:hint="eastAsia" w:ascii="宋体" w:hAnsi="宋体"/>
          <w:szCs w:val="21"/>
        </w:rPr>
        <w:t>3</w:t>
      </w:r>
      <w:r>
        <w:rPr>
          <w:rFonts w:ascii="宋体" w:hAnsi="宋体"/>
          <w:szCs w:val="21"/>
        </w:rPr>
        <w:t xml:space="preserve"> 日前以书面形式提出。</w:t>
      </w:r>
      <w:r>
        <w:rPr>
          <w:rFonts w:hint="eastAsia" w:ascii="宋体" w:hAnsi="宋体"/>
          <w:szCs w:val="21"/>
        </w:rPr>
        <w:t>采购人</w:t>
      </w:r>
      <w:r>
        <w:rPr>
          <w:rFonts w:ascii="宋体" w:hAnsi="宋体"/>
          <w:szCs w:val="21"/>
        </w:rPr>
        <w:t xml:space="preserve">将在收到异议之日起 </w:t>
      </w:r>
      <w:r>
        <w:rPr>
          <w:rFonts w:hint="eastAsia" w:ascii="宋体" w:hAnsi="宋体"/>
          <w:szCs w:val="21"/>
        </w:rPr>
        <w:t>2</w:t>
      </w:r>
      <w:r>
        <w:rPr>
          <w:rFonts w:ascii="宋体" w:hAnsi="宋体"/>
          <w:szCs w:val="21"/>
        </w:rPr>
        <w:t xml:space="preserve"> 日内作出答复；作出答复前，将暂停</w:t>
      </w:r>
      <w:r>
        <w:rPr>
          <w:rFonts w:hint="eastAsia" w:ascii="宋体" w:hAnsi="宋体"/>
          <w:szCs w:val="21"/>
          <w:lang w:eastAsia="zh-CN"/>
        </w:rPr>
        <w:t>谈判</w:t>
      </w:r>
      <w:r>
        <w:rPr>
          <w:rFonts w:ascii="宋体" w:hAnsi="宋体"/>
          <w:szCs w:val="21"/>
        </w:rPr>
        <w:t>活动。</w:t>
      </w:r>
    </w:p>
    <w:p w14:paraId="49AF09BE">
      <w:pPr>
        <w:pStyle w:val="4"/>
        <w:spacing w:before="0" w:after="0" w:line="360" w:lineRule="exact"/>
        <w:jc w:val="left"/>
        <w:rPr>
          <w:rFonts w:hint="eastAsia" w:ascii="宋体" w:hAnsi="宋体" w:eastAsia="宋体" w:cs="宋体"/>
          <w:sz w:val="21"/>
          <w:szCs w:val="21"/>
          <w:lang w:eastAsia="zh-CN"/>
        </w:rPr>
      </w:pPr>
      <w:bookmarkStart w:id="214" w:name="_Toc74125898"/>
      <w:bookmarkStart w:id="215" w:name="_Toc80884470"/>
      <w:bookmarkStart w:id="216" w:name="_Toc69937172"/>
      <w:bookmarkStart w:id="217" w:name="_Toc17551"/>
      <w:bookmarkStart w:id="218" w:name="_Toc11668"/>
      <w:r>
        <w:rPr>
          <w:rFonts w:hint="eastAsia" w:ascii="宋体" w:hAnsi="宋体" w:eastAsia="宋体" w:cs="宋体"/>
          <w:sz w:val="21"/>
          <w:szCs w:val="21"/>
        </w:rPr>
        <w:t xml:space="preserve">3. </w:t>
      </w:r>
      <w:bookmarkEnd w:id="213"/>
      <w:bookmarkEnd w:id="214"/>
      <w:bookmarkEnd w:id="215"/>
      <w:bookmarkEnd w:id="216"/>
      <w:bookmarkEnd w:id="217"/>
      <w:bookmarkEnd w:id="218"/>
      <w:r>
        <w:rPr>
          <w:rFonts w:hint="eastAsia" w:ascii="宋体" w:hAnsi="宋体" w:eastAsia="宋体" w:cs="宋体"/>
          <w:sz w:val="21"/>
          <w:szCs w:val="21"/>
          <w:lang w:eastAsia="zh-CN"/>
        </w:rPr>
        <w:t>响应文件</w:t>
      </w:r>
    </w:p>
    <w:p w14:paraId="3687115E">
      <w:pPr>
        <w:pStyle w:val="5"/>
        <w:spacing w:before="0" w:after="0" w:line="360" w:lineRule="exact"/>
        <w:ind w:firstLine="420" w:firstLineChars="200"/>
        <w:jc w:val="left"/>
        <w:rPr>
          <w:rFonts w:ascii="宋体" w:hAnsi="宋体" w:eastAsia="宋体" w:cs="宋体"/>
          <w:sz w:val="21"/>
          <w:szCs w:val="21"/>
        </w:rPr>
      </w:pPr>
      <w:bookmarkStart w:id="219" w:name="_Toc17712"/>
      <w:bookmarkStart w:id="220" w:name="_Toc74125899"/>
      <w:bookmarkStart w:id="221" w:name="_Toc80884471"/>
      <w:bookmarkStart w:id="222" w:name="_Toc18595"/>
      <w:bookmarkStart w:id="223" w:name="_Toc5120"/>
      <w:bookmarkStart w:id="224" w:name="_Toc69937173"/>
      <w:r>
        <w:rPr>
          <w:rFonts w:hint="eastAsia" w:ascii="宋体" w:hAnsi="宋体" w:eastAsia="宋体" w:cs="宋体"/>
          <w:sz w:val="21"/>
          <w:szCs w:val="21"/>
        </w:rPr>
        <w:t xml:space="preserve">3.1 </w:t>
      </w:r>
      <w:r>
        <w:rPr>
          <w:rFonts w:hint="eastAsia" w:ascii="宋体" w:hAnsi="宋体" w:eastAsia="宋体" w:cs="宋体"/>
          <w:sz w:val="21"/>
          <w:szCs w:val="21"/>
          <w:lang w:eastAsia="zh-CN"/>
        </w:rPr>
        <w:t>响应文件</w:t>
      </w:r>
      <w:r>
        <w:rPr>
          <w:rFonts w:hint="eastAsia" w:ascii="宋体" w:hAnsi="宋体" w:eastAsia="宋体" w:cs="宋体"/>
          <w:sz w:val="21"/>
          <w:szCs w:val="21"/>
        </w:rPr>
        <w:t>的组成</w:t>
      </w:r>
      <w:bookmarkEnd w:id="219"/>
      <w:bookmarkEnd w:id="220"/>
      <w:bookmarkEnd w:id="221"/>
      <w:bookmarkEnd w:id="222"/>
      <w:bookmarkEnd w:id="223"/>
      <w:bookmarkEnd w:id="224"/>
    </w:p>
    <w:p w14:paraId="54D048D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3.1.1 </w:t>
      </w:r>
      <w:r>
        <w:rPr>
          <w:rFonts w:hint="eastAsia" w:ascii="宋体" w:hAnsi="宋体" w:eastAsia="宋体" w:cs="宋体"/>
          <w:szCs w:val="21"/>
          <w:lang w:eastAsia="zh-CN"/>
        </w:rPr>
        <w:t>响应文件</w:t>
      </w:r>
      <w:r>
        <w:rPr>
          <w:rFonts w:hint="eastAsia" w:ascii="宋体" w:hAnsi="宋体" w:eastAsia="宋体" w:cs="宋体"/>
          <w:szCs w:val="21"/>
        </w:rPr>
        <w:t>应包括下列内容：</w:t>
      </w:r>
    </w:p>
    <w:p w14:paraId="42644EA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谈判</w:t>
      </w:r>
      <w:r>
        <w:rPr>
          <w:rFonts w:hint="eastAsia" w:ascii="宋体" w:hAnsi="宋体" w:eastAsia="宋体" w:cs="宋体"/>
          <w:szCs w:val="21"/>
        </w:rPr>
        <w:t>报价函及</w:t>
      </w:r>
      <w:r>
        <w:rPr>
          <w:rFonts w:hint="eastAsia" w:ascii="宋体" w:hAnsi="宋体" w:cs="宋体"/>
          <w:szCs w:val="21"/>
          <w:lang w:val="en-US" w:eastAsia="zh-CN"/>
        </w:rPr>
        <w:t>分项报价表</w:t>
      </w:r>
      <w:r>
        <w:rPr>
          <w:rFonts w:hint="eastAsia" w:ascii="宋体" w:hAnsi="宋体" w:eastAsia="宋体" w:cs="宋体"/>
          <w:szCs w:val="21"/>
        </w:rPr>
        <w:t>；</w:t>
      </w:r>
    </w:p>
    <w:p w14:paraId="03397BD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（2）法定代表人身份证明或授权委托书；</w:t>
      </w:r>
    </w:p>
    <w:p w14:paraId="182EF45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）资格审查资料；</w:t>
      </w:r>
    </w:p>
    <w:p w14:paraId="661A437F">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w:t>
      </w:r>
      <w:r>
        <w:rPr>
          <w:rFonts w:hint="eastAsia" w:ascii="宋体" w:hAnsi="宋体" w:cs="宋体"/>
          <w:szCs w:val="21"/>
          <w:lang w:val="en-US" w:eastAsia="zh-CN"/>
        </w:rPr>
        <w:t>4</w:t>
      </w:r>
      <w:r>
        <w:rPr>
          <w:rFonts w:hint="eastAsia" w:ascii="宋体" w:hAnsi="宋体" w:eastAsia="宋体" w:cs="宋体"/>
          <w:szCs w:val="21"/>
        </w:rPr>
        <w:t>）供应商须知前附表规定的其他资料。</w:t>
      </w:r>
    </w:p>
    <w:p w14:paraId="4A0726F4">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供应商在评审过程中作出的符合法律法规和</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规定的澄清确认，构成</w:t>
      </w:r>
      <w:r>
        <w:rPr>
          <w:rFonts w:hint="eastAsia" w:ascii="宋体" w:hAnsi="宋体" w:eastAsia="宋体" w:cs="宋体"/>
          <w:szCs w:val="21"/>
          <w:lang w:eastAsia="zh-CN"/>
        </w:rPr>
        <w:t>响应文件</w:t>
      </w:r>
      <w:r>
        <w:rPr>
          <w:rFonts w:hint="eastAsia" w:ascii="宋体" w:hAnsi="宋体" w:eastAsia="宋体" w:cs="宋体"/>
          <w:szCs w:val="21"/>
        </w:rPr>
        <w:t>的组成部分。</w:t>
      </w:r>
    </w:p>
    <w:p w14:paraId="30D7E65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3.1.2 供应商须知前附表规定不接受联合体供应商的，或供应商没有组成联合体的，</w:t>
      </w:r>
      <w:r>
        <w:rPr>
          <w:rFonts w:hint="eastAsia" w:ascii="宋体" w:hAnsi="宋体" w:eastAsia="宋体" w:cs="宋体"/>
          <w:szCs w:val="21"/>
          <w:lang w:eastAsia="zh-CN"/>
        </w:rPr>
        <w:t>响应文件</w:t>
      </w:r>
      <w:r>
        <w:rPr>
          <w:rFonts w:hint="eastAsia" w:ascii="宋体" w:hAnsi="宋体" w:eastAsia="宋体" w:cs="宋体"/>
          <w:szCs w:val="21"/>
        </w:rPr>
        <w:t>不包括本章第3.1.1（3）目所指的联合体协议书。</w:t>
      </w:r>
    </w:p>
    <w:p w14:paraId="19665C16">
      <w:pPr>
        <w:pStyle w:val="5"/>
        <w:spacing w:before="0" w:after="0" w:line="360" w:lineRule="exact"/>
        <w:ind w:firstLine="420" w:firstLineChars="200"/>
        <w:jc w:val="left"/>
        <w:rPr>
          <w:rFonts w:ascii="宋体" w:hAnsi="宋体" w:eastAsia="宋体" w:cs="宋体"/>
          <w:sz w:val="21"/>
          <w:szCs w:val="21"/>
        </w:rPr>
      </w:pPr>
      <w:bookmarkStart w:id="225" w:name="_Toc12691"/>
      <w:bookmarkStart w:id="226" w:name="_Toc13936"/>
      <w:bookmarkStart w:id="227" w:name="_Toc24404"/>
      <w:bookmarkStart w:id="228" w:name="_Toc74125900"/>
      <w:bookmarkStart w:id="229" w:name="_Toc80884472"/>
      <w:bookmarkStart w:id="230" w:name="_Toc69937174"/>
      <w:r>
        <w:rPr>
          <w:rFonts w:hint="eastAsia" w:ascii="宋体" w:hAnsi="宋体" w:eastAsia="宋体" w:cs="宋体"/>
          <w:sz w:val="21"/>
          <w:szCs w:val="21"/>
        </w:rPr>
        <w:t xml:space="preserve">3.2 </w:t>
      </w:r>
      <w:bookmarkEnd w:id="225"/>
      <w:r>
        <w:rPr>
          <w:rFonts w:hint="eastAsia" w:ascii="宋体" w:hAnsi="宋体" w:eastAsia="宋体" w:cs="宋体"/>
          <w:sz w:val="21"/>
          <w:szCs w:val="21"/>
          <w:lang w:eastAsia="zh-CN"/>
        </w:rPr>
        <w:t>谈判</w:t>
      </w:r>
      <w:r>
        <w:rPr>
          <w:rFonts w:hint="eastAsia" w:ascii="宋体" w:hAnsi="宋体" w:eastAsia="宋体" w:cs="宋体"/>
          <w:sz w:val="21"/>
          <w:szCs w:val="21"/>
        </w:rPr>
        <w:t>报价</w:t>
      </w:r>
      <w:bookmarkEnd w:id="226"/>
      <w:bookmarkEnd w:id="227"/>
      <w:bookmarkEnd w:id="228"/>
      <w:bookmarkEnd w:id="229"/>
      <w:bookmarkEnd w:id="230"/>
    </w:p>
    <w:p w14:paraId="6F5D976F">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3.2.1</w:t>
      </w:r>
      <w:r>
        <w:rPr>
          <w:rFonts w:hint="eastAsia" w:ascii="宋体" w:hAnsi="宋体" w:eastAsia="宋体" w:cs="宋体"/>
          <w:szCs w:val="21"/>
          <w:lang w:val="en-US" w:eastAsia="zh-CN"/>
        </w:rPr>
        <w:t>本次</w:t>
      </w:r>
      <w:r>
        <w:rPr>
          <w:rFonts w:hint="eastAsia" w:ascii="宋体" w:hAnsi="宋体" w:eastAsia="宋体" w:cs="宋体"/>
          <w:szCs w:val="21"/>
          <w:lang w:eastAsia="zh-CN"/>
        </w:rPr>
        <w:t>谈判</w:t>
      </w:r>
      <w:r>
        <w:rPr>
          <w:rFonts w:hint="eastAsia" w:ascii="宋体" w:hAnsi="宋体" w:eastAsia="宋体" w:cs="宋体"/>
          <w:szCs w:val="21"/>
        </w:rPr>
        <w:t>报价包括国家规定的增值税税金</w:t>
      </w:r>
      <w:r>
        <w:rPr>
          <w:rFonts w:hint="eastAsia" w:ascii="宋体" w:hAnsi="宋体" w:eastAsia="宋体" w:cs="宋体"/>
          <w:szCs w:val="21"/>
          <w:lang w:eastAsia="zh-CN"/>
        </w:rPr>
        <w:t>。</w:t>
      </w:r>
    </w:p>
    <w:p w14:paraId="3AF32094">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3.2.2 供应商应充分了解该项目的总体情况以及影响</w:t>
      </w:r>
      <w:r>
        <w:rPr>
          <w:rFonts w:hint="eastAsia" w:ascii="宋体" w:hAnsi="宋体" w:eastAsia="宋体" w:cs="宋体"/>
          <w:szCs w:val="21"/>
          <w:lang w:eastAsia="zh-CN"/>
        </w:rPr>
        <w:t>谈判</w:t>
      </w:r>
      <w:r>
        <w:rPr>
          <w:rFonts w:hint="eastAsia" w:ascii="宋体" w:hAnsi="宋体" w:eastAsia="宋体" w:cs="宋体"/>
          <w:szCs w:val="21"/>
        </w:rPr>
        <w:t>报价的其他要素。</w:t>
      </w:r>
    </w:p>
    <w:p w14:paraId="36BFE904">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3.2.3</w:t>
      </w:r>
      <w:bookmarkStart w:id="231" w:name="_Toc15242"/>
      <w:bookmarkEnd w:id="231"/>
      <w:bookmarkStart w:id="232" w:name="_Toc247513967"/>
      <w:bookmarkEnd w:id="232"/>
      <w:bookmarkStart w:id="233" w:name="_Toc352691487"/>
      <w:bookmarkEnd w:id="233"/>
      <w:bookmarkStart w:id="234" w:name="_Toc152045543"/>
      <w:bookmarkEnd w:id="234"/>
      <w:bookmarkStart w:id="235" w:name="_Toc369531530"/>
      <w:bookmarkEnd w:id="235"/>
      <w:bookmarkStart w:id="236" w:name="_Toc144974511"/>
      <w:bookmarkEnd w:id="236"/>
      <w:bookmarkStart w:id="237" w:name="_Toc300834964"/>
      <w:bookmarkEnd w:id="237"/>
      <w:bookmarkStart w:id="238" w:name="_Toc384308224"/>
      <w:bookmarkEnd w:id="238"/>
      <w:bookmarkStart w:id="239" w:name="_Toc152042319"/>
      <w:bookmarkEnd w:id="239"/>
      <w:bookmarkStart w:id="240" w:name="_Toc361508599"/>
      <w:bookmarkEnd w:id="240"/>
      <w:bookmarkStart w:id="241" w:name="_Toc247527568"/>
      <w:bookmarkEnd w:id="241"/>
      <w:r>
        <w:rPr>
          <w:rFonts w:hint="eastAsia" w:ascii="宋体" w:hAnsi="宋体" w:eastAsia="宋体" w:cs="宋体"/>
          <w:szCs w:val="21"/>
        </w:rPr>
        <w:t xml:space="preserve"> </w:t>
      </w:r>
      <w:r>
        <w:rPr>
          <w:rFonts w:hint="eastAsia" w:ascii="宋体" w:hAnsi="宋体" w:cs="宋体"/>
        </w:rPr>
        <w:t>本项目的报价方式见供应商须知前附表。供应商在</w:t>
      </w:r>
      <w:r>
        <w:rPr>
          <w:rFonts w:hint="eastAsia" w:ascii="宋体" w:hAnsi="宋体" w:cs="宋体"/>
          <w:lang w:eastAsia="zh-CN"/>
        </w:rPr>
        <w:t>谈判</w:t>
      </w:r>
      <w:r>
        <w:rPr>
          <w:rFonts w:hint="eastAsia" w:ascii="宋体" w:hAnsi="宋体" w:cs="宋体"/>
        </w:rPr>
        <w:t>截止时间前修改报价函中的</w:t>
      </w:r>
      <w:r>
        <w:rPr>
          <w:rFonts w:hint="eastAsia" w:ascii="宋体" w:hAnsi="宋体" w:cs="宋体"/>
          <w:lang w:eastAsia="zh-CN"/>
        </w:rPr>
        <w:t>谈判</w:t>
      </w:r>
      <w:r>
        <w:rPr>
          <w:rFonts w:hint="eastAsia" w:ascii="宋体" w:hAnsi="宋体" w:cs="宋体"/>
        </w:rPr>
        <w:t>报价总额。此修改须符合本章第4.3款的有关要求。</w:t>
      </w:r>
    </w:p>
    <w:p w14:paraId="5D1FCB2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3.2.4 采购人设有最高限价的，供应商的</w:t>
      </w:r>
      <w:r>
        <w:rPr>
          <w:rFonts w:hint="eastAsia" w:ascii="宋体" w:hAnsi="宋体" w:eastAsia="宋体" w:cs="宋体"/>
          <w:szCs w:val="21"/>
          <w:lang w:eastAsia="zh-CN"/>
        </w:rPr>
        <w:t>谈判</w:t>
      </w:r>
      <w:r>
        <w:rPr>
          <w:rFonts w:hint="eastAsia" w:ascii="宋体" w:hAnsi="宋体" w:eastAsia="宋体" w:cs="宋体"/>
          <w:szCs w:val="21"/>
        </w:rPr>
        <w:t>报价不得超过最高限价，最高限价在</w:t>
      </w:r>
      <w:bookmarkStart w:id="242" w:name="_Toc10429"/>
      <w:bookmarkStart w:id="243" w:name="_Toc384308225"/>
      <w:bookmarkStart w:id="244" w:name="_Toc247513968"/>
      <w:bookmarkStart w:id="245" w:name="_Toc152042320"/>
      <w:bookmarkStart w:id="246" w:name="_Toc247527569"/>
      <w:bookmarkStart w:id="247" w:name="_Toc144974512"/>
      <w:bookmarkStart w:id="248" w:name="_Toc361508600"/>
      <w:bookmarkStart w:id="249" w:name="_Toc300834965"/>
      <w:bookmarkStart w:id="250" w:name="_Toc152045544"/>
      <w:bookmarkStart w:id="251" w:name="_Toc352691488"/>
      <w:bookmarkStart w:id="252" w:name="_Toc369531531"/>
      <w:r>
        <w:rPr>
          <w:rFonts w:hint="eastAsia" w:ascii="宋体" w:hAnsi="宋体" w:eastAsia="宋体" w:cs="宋体"/>
          <w:szCs w:val="21"/>
        </w:rPr>
        <w:t>供应商须知前附表中载明。</w:t>
      </w:r>
      <w:bookmarkEnd w:id="242"/>
      <w:bookmarkEnd w:id="243"/>
      <w:bookmarkEnd w:id="244"/>
      <w:bookmarkEnd w:id="245"/>
      <w:bookmarkEnd w:id="246"/>
      <w:bookmarkEnd w:id="247"/>
      <w:bookmarkEnd w:id="248"/>
      <w:bookmarkEnd w:id="249"/>
      <w:bookmarkEnd w:id="250"/>
      <w:bookmarkEnd w:id="251"/>
      <w:bookmarkEnd w:id="252"/>
    </w:p>
    <w:p w14:paraId="2967F948">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3.2.5 </w:t>
      </w:r>
      <w:r>
        <w:rPr>
          <w:rFonts w:hint="eastAsia" w:ascii="宋体" w:hAnsi="宋体" w:eastAsia="宋体" w:cs="宋体"/>
          <w:lang w:eastAsia="zh-CN"/>
        </w:rPr>
        <w:t>谈判</w:t>
      </w:r>
      <w:r>
        <w:rPr>
          <w:rFonts w:hint="eastAsia" w:ascii="宋体" w:hAnsi="宋体" w:cs="宋体"/>
        </w:rPr>
        <w:t>报价的其他要求见供应商须知前附表。</w:t>
      </w:r>
    </w:p>
    <w:p w14:paraId="1C3C3066">
      <w:pPr>
        <w:pStyle w:val="5"/>
        <w:spacing w:before="0" w:after="0" w:line="360" w:lineRule="exact"/>
        <w:ind w:firstLine="420" w:firstLineChars="200"/>
        <w:jc w:val="left"/>
        <w:rPr>
          <w:rFonts w:ascii="宋体" w:hAnsi="宋体" w:eastAsia="宋体" w:cs="宋体"/>
          <w:sz w:val="21"/>
          <w:szCs w:val="21"/>
        </w:rPr>
      </w:pPr>
      <w:bookmarkStart w:id="253" w:name="_Toc17778"/>
      <w:bookmarkStart w:id="254" w:name="_Toc17548"/>
      <w:bookmarkStart w:id="255" w:name="_Toc74125901"/>
      <w:bookmarkStart w:id="256" w:name="_Toc69937175"/>
      <w:bookmarkStart w:id="257" w:name="_Toc80884473"/>
      <w:bookmarkStart w:id="258" w:name="_Toc17731"/>
      <w:r>
        <w:rPr>
          <w:rFonts w:hint="eastAsia" w:ascii="宋体" w:hAnsi="宋体" w:eastAsia="宋体" w:cs="宋体"/>
          <w:sz w:val="21"/>
          <w:szCs w:val="21"/>
        </w:rPr>
        <w:t xml:space="preserve">3.3 </w:t>
      </w:r>
      <w:bookmarkEnd w:id="253"/>
      <w:r>
        <w:rPr>
          <w:rFonts w:hint="eastAsia" w:ascii="宋体" w:hAnsi="宋体" w:eastAsia="宋体" w:cs="宋体"/>
          <w:sz w:val="21"/>
          <w:szCs w:val="21"/>
          <w:lang w:eastAsia="zh-CN"/>
        </w:rPr>
        <w:t>谈判</w:t>
      </w:r>
      <w:r>
        <w:rPr>
          <w:rFonts w:hint="eastAsia" w:ascii="宋体" w:hAnsi="宋体" w:eastAsia="宋体" w:cs="宋体"/>
          <w:sz w:val="21"/>
          <w:szCs w:val="21"/>
        </w:rPr>
        <w:t>有效期</w:t>
      </w:r>
      <w:bookmarkEnd w:id="254"/>
      <w:bookmarkEnd w:id="255"/>
      <w:bookmarkEnd w:id="256"/>
      <w:bookmarkEnd w:id="257"/>
      <w:bookmarkEnd w:id="258"/>
    </w:p>
    <w:p w14:paraId="2A54909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3.3.1 除供应商须知前附表另有规定外，</w:t>
      </w:r>
      <w:r>
        <w:rPr>
          <w:rFonts w:hint="eastAsia" w:ascii="宋体" w:hAnsi="宋体" w:eastAsia="宋体" w:cs="宋体"/>
          <w:szCs w:val="21"/>
          <w:lang w:eastAsia="zh-CN"/>
        </w:rPr>
        <w:t>谈判</w:t>
      </w:r>
      <w:r>
        <w:rPr>
          <w:rFonts w:hint="eastAsia" w:ascii="宋体" w:hAnsi="宋体" w:eastAsia="宋体" w:cs="宋体"/>
          <w:szCs w:val="21"/>
        </w:rPr>
        <w:t>有效期为90天。</w:t>
      </w:r>
    </w:p>
    <w:p w14:paraId="7599361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3.3.2 在</w:t>
      </w:r>
      <w:r>
        <w:rPr>
          <w:rFonts w:hint="eastAsia" w:ascii="宋体" w:hAnsi="宋体" w:eastAsia="宋体" w:cs="宋体"/>
          <w:szCs w:val="21"/>
          <w:lang w:eastAsia="zh-CN"/>
        </w:rPr>
        <w:t>谈判</w:t>
      </w:r>
      <w:r>
        <w:rPr>
          <w:rFonts w:hint="eastAsia" w:ascii="宋体" w:hAnsi="宋体" w:eastAsia="宋体" w:cs="宋体"/>
          <w:szCs w:val="21"/>
        </w:rPr>
        <w:t>有效期内，供应商撤销</w:t>
      </w:r>
      <w:r>
        <w:rPr>
          <w:rFonts w:hint="eastAsia" w:ascii="宋体" w:hAnsi="宋体" w:eastAsia="宋体" w:cs="宋体"/>
          <w:szCs w:val="21"/>
          <w:lang w:eastAsia="zh-CN"/>
        </w:rPr>
        <w:t>响应文件</w:t>
      </w:r>
      <w:r>
        <w:rPr>
          <w:rFonts w:hint="eastAsia" w:ascii="宋体" w:hAnsi="宋体" w:eastAsia="宋体" w:cs="宋体"/>
          <w:szCs w:val="21"/>
        </w:rPr>
        <w:t>的，应承担</w:t>
      </w:r>
      <w:r>
        <w:rPr>
          <w:rFonts w:hint="eastAsia" w:ascii="宋体" w:hAnsi="宋体" w:eastAsia="宋体" w:cs="宋体"/>
          <w:szCs w:val="21"/>
          <w:lang w:eastAsia="zh-CN"/>
        </w:rPr>
        <w:t>响应文件</w:t>
      </w:r>
      <w:r>
        <w:rPr>
          <w:rFonts w:hint="eastAsia" w:ascii="宋体" w:hAnsi="宋体" w:eastAsia="宋体" w:cs="宋体"/>
          <w:szCs w:val="21"/>
        </w:rPr>
        <w:t>和法律规定的责任。</w:t>
      </w:r>
    </w:p>
    <w:p w14:paraId="016C9E1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3.3.3 出现特殊情况需要延长</w:t>
      </w:r>
      <w:r>
        <w:rPr>
          <w:rFonts w:hint="eastAsia" w:ascii="宋体" w:hAnsi="宋体" w:eastAsia="宋体" w:cs="宋体"/>
          <w:szCs w:val="21"/>
          <w:lang w:eastAsia="zh-CN"/>
        </w:rPr>
        <w:t>谈判</w:t>
      </w:r>
      <w:r>
        <w:rPr>
          <w:rFonts w:hint="eastAsia" w:ascii="宋体" w:hAnsi="宋体" w:eastAsia="宋体" w:cs="宋体"/>
          <w:szCs w:val="21"/>
        </w:rPr>
        <w:t>有效期的，采购人以书面形式通知所有供应商延长</w:t>
      </w:r>
      <w:r>
        <w:rPr>
          <w:rFonts w:hint="eastAsia" w:ascii="宋体" w:hAnsi="宋体" w:eastAsia="宋体" w:cs="宋体"/>
          <w:szCs w:val="21"/>
          <w:lang w:eastAsia="zh-CN"/>
        </w:rPr>
        <w:t>谈判</w:t>
      </w:r>
      <w:r>
        <w:rPr>
          <w:rFonts w:hint="eastAsia" w:ascii="宋体" w:hAnsi="宋体" w:eastAsia="宋体" w:cs="宋体"/>
          <w:szCs w:val="21"/>
        </w:rPr>
        <w:t>有效期。供应商应予以书面答复，同意延长的，应相应延长其</w:t>
      </w:r>
      <w:r>
        <w:rPr>
          <w:rFonts w:hint="eastAsia" w:ascii="宋体" w:hAnsi="宋体" w:eastAsia="宋体" w:cs="宋体"/>
          <w:szCs w:val="21"/>
          <w:lang w:eastAsia="zh-CN"/>
        </w:rPr>
        <w:t>谈判</w:t>
      </w:r>
      <w:r>
        <w:rPr>
          <w:rFonts w:hint="eastAsia" w:ascii="宋体" w:hAnsi="宋体" w:eastAsia="宋体" w:cs="宋体"/>
          <w:szCs w:val="21"/>
        </w:rPr>
        <w:t>保证金的有效期，但不得要求或被允许修改其</w:t>
      </w:r>
      <w:r>
        <w:rPr>
          <w:rFonts w:hint="eastAsia" w:ascii="宋体" w:hAnsi="宋体" w:eastAsia="宋体" w:cs="宋体"/>
          <w:szCs w:val="21"/>
          <w:lang w:eastAsia="zh-CN"/>
        </w:rPr>
        <w:t>响应文件</w:t>
      </w:r>
      <w:r>
        <w:rPr>
          <w:rFonts w:hint="eastAsia" w:ascii="宋体" w:hAnsi="宋体" w:eastAsia="宋体" w:cs="宋体"/>
          <w:szCs w:val="21"/>
        </w:rPr>
        <w:t>；供应商拒绝延长的，其投标失效，但供应商有权收回其</w:t>
      </w:r>
      <w:r>
        <w:rPr>
          <w:rFonts w:hint="eastAsia" w:ascii="宋体" w:hAnsi="宋体" w:eastAsia="宋体" w:cs="宋体"/>
          <w:szCs w:val="21"/>
          <w:lang w:eastAsia="zh-CN"/>
        </w:rPr>
        <w:t>谈判</w:t>
      </w:r>
      <w:r>
        <w:rPr>
          <w:rFonts w:hint="eastAsia" w:ascii="宋体" w:hAnsi="宋体" w:eastAsia="宋体" w:cs="宋体"/>
          <w:szCs w:val="21"/>
        </w:rPr>
        <w:t>保证金及以现金或者支票形式递交的</w:t>
      </w:r>
      <w:r>
        <w:rPr>
          <w:rFonts w:hint="eastAsia" w:ascii="宋体" w:hAnsi="宋体" w:eastAsia="宋体" w:cs="宋体"/>
          <w:szCs w:val="21"/>
          <w:lang w:eastAsia="zh-CN"/>
        </w:rPr>
        <w:t>谈判</w:t>
      </w:r>
      <w:r>
        <w:rPr>
          <w:rFonts w:hint="eastAsia" w:ascii="宋体" w:hAnsi="宋体" w:eastAsia="宋体" w:cs="宋体"/>
          <w:szCs w:val="21"/>
        </w:rPr>
        <w:t>保证金的银行同期存款利息。</w:t>
      </w:r>
    </w:p>
    <w:p w14:paraId="5F091F3F">
      <w:pPr>
        <w:pStyle w:val="5"/>
        <w:spacing w:before="0" w:after="0" w:line="360" w:lineRule="exact"/>
        <w:ind w:firstLine="420" w:firstLineChars="200"/>
        <w:jc w:val="left"/>
        <w:rPr>
          <w:rFonts w:hint="eastAsia" w:ascii="宋体" w:hAnsi="宋体" w:eastAsia="宋体" w:cs="宋体"/>
          <w:sz w:val="21"/>
          <w:szCs w:val="21"/>
        </w:rPr>
      </w:pPr>
      <w:bookmarkStart w:id="259" w:name="_Toc7871"/>
      <w:bookmarkStart w:id="260" w:name="_Toc74125902"/>
      <w:bookmarkStart w:id="261" w:name="_Toc80884474"/>
      <w:bookmarkStart w:id="262" w:name="_Toc5732"/>
      <w:bookmarkStart w:id="263" w:name="_Toc69937176"/>
      <w:bookmarkStart w:id="264" w:name="_Toc7447"/>
      <w:r>
        <w:rPr>
          <w:rFonts w:hint="eastAsia" w:ascii="宋体" w:hAnsi="宋体" w:eastAsia="宋体" w:cs="宋体"/>
          <w:sz w:val="21"/>
          <w:szCs w:val="21"/>
        </w:rPr>
        <w:t xml:space="preserve">3.4 </w:t>
      </w:r>
      <w:bookmarkEnd w:id="259"/>
      <w:r>
        <w:rPr>
          <w:rFonts w:hint="eastAsia" w:ascii="宋体" w:hAnsi="宋体" w:eastAsia="宋体" w:cs="宋体"/>
          <w:sz w:val="21"/>
          <w:szCs w:val="21"/>
          <w:lang w:eastAsia="zh-CN"/>
        </w:rPr>
        <w:t>谈判</w:t>
      </w:r>
      <w:r>
        <w:rPr>
          <w:rFonts w:hint="eastAsia" w:ascii="宋体" w:hAnsi="宋体" w:eastAsia="宋体" w:cs="宋体"/>
          <w:sz w:val="21"/>
          <w:szCs w:val="21"/>
        </w:rPr>
        <w:t>保证金</w:t>
      </w:r>
      <w:bookmarkEnd w:id="260"/>
      <w:bookmarkEnd w:id="261"/>
      <w:bookmarkEnd w:id="262"/>
      <w:bookmarkEnd w:id="263"/>
      <w:bookmarkEnd w:id="264"/>
    </w:p>
    <w:p w14:paraId="3729E05C">
      <w:pPr>
        <w:spacing w:line="360" w:lineRule="exact"/>
        <w:rPr>
          <w:rFonts w:hint="default" w:eastAsia="宋体"/>
          <w:lang w:val="en-US" w:eastAsia="zh-CN"/>
        </w:rPr>
      </w:pPr>
      <w:r>
        <w:rPr>
          <w:rFonts w:hint="eastAsia" w:eastAsia="宋体"/>
          <w:lang w:val="en-US" w:eastAsia="zh-CN"/>
        </w:rPr>
        <w:t xml:space="preserve">    本次谈判不缴纳谈判保证金。</w:t>
      </w:r>
    </w:p>
    <w:p w14:paraId="00D9CF1C">
      <w:pPr>
        <w:pStyle w:val="5"/>
        <w:spacing w:before="0" w:after="0" w:line="360" w:lineRule="exact"/>
        <w:ind w:firstLine="420" w:firstLineChars="200"/>
        <w:jc w:val="left"/>
        <w:rPr>
          <w:rFonts w:ascii="宋体" w:hAnsi="宋体" w:eastAsia="宋体" w:cs="宋体"/>
          <w:sz w:val="21"/>
          <w:szCs w:val="21"/>
        </w:rPr>
      </w:pPr>
      <w:bookmarkStart w:id="265" w:name="_Toc74125903"/>
      <w:bookmarkStart w:id="266" w:name="_Toc25668"/>
      <w:bookmarkStart w:id="267" w:name="_Toc1031"/>
      <w:bookmarkStart w:id="268" w:name="_Toc80884475"/>
      <w:bookmarkStart w:id="269" w:name="_Toc17571"/>
      <w:bookmarkStart w:id="270" w:name="_Toc69937177"/>
      <w:r>
        <w:rPr>
          <w:rFonts w:hint="eastAsia" w:ascii="宋体" w:hAnsi="宋体" w:eastAsia="宋体" w:cs="宋体"/>
          <w:sz w:val="21"/>
          <w:szCs w:val="21"/>
        </w:rPr>
        <w:t>3.5 资格审查资料</w:t>
      </w:r>
      <w:bookmarkEnd w:id="265"/>
      <w:bookmarkEnd w:id="266"/>
      <w:bookmarkEnd w:id="267"/>
      <w:bookmarkEnd w:id="268"/>
      <w:bookmarkEnd w:id="269"/>
      <w:bookmarkEnd w:id="270"/>
    </w:p>
    <w:p w14:paraId="179F3C23">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除供应商须知前附表另有规定外，供应商应按下列规定提供资格审查资料，以证明其满足本章第1.4款规定的资质、财务、业绩、信誉等要求。</w:t>
      </w:r>
    </w:p>
    <w:p w14:paraId="3255F990">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3.5.1 “供应商基本情况表”应附供应商营业执照和组织机构代码证的复印件（按照“三证合一”或“五证合一”登记制度进行登记的，可仅提供营业执照复印件）、供应商设计资质证书副本等材料的复印件。</w:t>
      </w:r>
    </w:p>
    <w:p w14:paraId="736DE5E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3.5.2 “近年财务状况表”应附经会计师事务所或审计机构审计的财务会计报表，包括资产负债表、现金流量表、利润表和财务情况说明书的复印件，具体年份要求见供应商须知前附表。供应商的成立时间少于供应商须知前附表规定年份的，应提供成立以来的财务状况表。</w:t>
      </w:r>
    </w:p>
    <w:p w14:paraId="39916554">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3.5.3 “近年完成的</w:t>
      </w:r>
      <w:r>
        <w:rPr>
          <w:rFonts w:hint="eastAsia" w:ascii="宋体" w:hAnsi="宋体" w:eastAsia="宋体" w:cs="宋体"/>
          <w:szCs w:val="21"/>
          <w:lang w:eastAsia="zh-CN"/>
        </w:rPr>
        <w:t>业绩</w:t>
      </w:r>
      <w:r>
        <w:rPr>
          <w:rFonts w:hint="eastAsia" w:ascii="宋体" w:hAnsi="宋体" w:eastAsia="宋体" w:cs="宋体"/>
          <w:szCs w:val="21"/>
        </w:rPr>
        <w:t>项目情况表”应附成交通知书和（或）合同协议书、发包人出具的证明文件；具体时间要求见供应商须知前附表，每张表格只填写一个项目，并标明序号。</w:t>
      </w:r>
    </w:p>
    <w:p w14:paraId="5EFF7C9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3.5.4 “正在</w:t>
      </w:r>
      <w:r>
        <w:rPr>
          <w:rFonts w:hint="eastAsia" w:ascii="宋体" w:hAnsi="宋体" w:eastAsia="宋体" w:cs="宋体"/>
          <w:szCs w:val="21"/>
          <w:lang w:eastAsia="zh-CN"/>
        </w:rPr>
        <w:t>执行</w:t>
      </w:r>
      <w:r>
        <w:rPr>
          <w:rFonts w:hint="eastAsia" w:ascii="宋体" w:hAnsi="宋体" w:eastAsia="宋体" w:cs="宋体"/>
          <w:szCs w:val="21"/>
        </w:rPr>
        <w:t>的项目情况表”应附成交通知书和（或）合同协议书复印件。每张表格只填写一个项目，并标明序号。</w:t>
      </w:r>
    </w:p>
    <w:p w14:paraId="7F946F7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3.5.5 “近年发生的诉讼及仲裁情况”应说明供应商败诉的合同的相关情况，并附法院或仲裁机构作出的判决、裁决等有关法律文书复印件，具体时间要求见供应商须知前附表。</w:t>
      </w:r>
    </w:p>
    <w:p w14:paraId="77FAA597">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3.5.6 “拟委任的主要人员汇总表”应填报满足本章第1.4.1项规定的项目负责人和其他主要人员的相关信息。“主要人员简历表”中项目负责人应附身份证、学历证、职称证、执业资格证书和社保缴费证明复印件，管理过的项目业绩须附合同协议书复印件；其他主要人员应附身份证、学历证、职称证、有关证书和社保缴费证明复印件。</w:t>
      </w:r>
    </w:p>
    <w:p w14:paraId="62780A91">
      <w:pPr>
        <w:pStyle w:val="5"/>
        <w:spacing w:before="0" w:after="0" w:line="360" w:lineRule="exact"/>
        <w:ind w:firstLine="420" w:firstLineChars="200"/>
        <w:jc w:val="left"/>
        <w:rPr>
          <w:rFonts w:ascii="宋体" w:hAnsi="宋体" w:eastAsia="宋体" w:cs="宋体"/>
          <w:sz w:val="21"/>
          <w:szCs w:val="21"/>
        </w:rPr>
      </w:pPr>
      <w:bookmarkStart w:id="271" w:name="_Toc74125904"/>
      <w:bookmarkStart w:id="272" w:name="_Toc7445"/>
      <w:bookmarkStart w:id="273" w:name="_Toc80884476"/>
      <w:bookmarkStart w:id="274" w:name="_Toc18588"/>
      <w:bookmarkStart w:id="275" w:name="_Toc69937178"/>
      <w:bookmarkStart w:id="276" w:name="_Toc12502"/>
      <w:r>
        <w:rPr>
          <w:rFonts w:hint="eastAsia" w:ascii="宋体" w:hAnsi="宋体" w:eastAsia="宋体" w:cs="宋体"/>
          <w:sz w:val="21"/>
          <w:szCs w:val="21"/>
        </w:rPr>
        <w:t>3.6 备选方案</w:t>
      </w:r>
      <w:bookmarkEnd w:id="271"/>
      <w:bookmarkEnd w:id="272"/>
      <w:bookmarkEnd w:id="273"/>
      <w:bookmarkEnd w:id="274"/>
      <w:bookmarkEnd w:id="275"/>
      <w:bookmarkEnd w:id="276"/>
    </w:p>
    <w:p w14:paraId="2AD9D644">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3.6.1 除供应商须知前附表规定允许外，供应商不得递交备选方案，否则其</w:t>
      </w:r>
      <w:r>
        <w:rPr>
          <w:rFonts w:hint="eastAsia" w:ascii="宋体" w:hAnsi="宋体" w:eastAsia="宋体" w:cs="宋体"/>
          <w:szCs w:val="21"/>
          <w:lang w:eastAsia="zh-CN"/>
        </w:rPr>
        <w:t>谈判</w:t>
      </w:r>
      <w:r>
        <w:rPr>
          <w:rFonts w:hint="eastAsia" w:ascii="宋体" w:hAnsi="宋体" w:eastAsia="宋体" w:cs="宋体"/>
          <w:szCs w:val="21"/>
        </w:rPr>
        <w:t>将被否决。</w:t>
      </w:r>
    </w:p>
    <w:p w14:paraId="48F2C538">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3.6.2 允许供应商递交备选方案的，只有成交供应商所递交的备选方案方可予以考虑。评审小组认为成交供应商的备选方案优于其按照</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要求编制的投标方案的，采购人可以接受该备选方案。</w:t>
      </w:r>
    </w:p>
    <w:p w14:paraId="1FA0DF0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3.6.3 供应商提供两个或两个以上</w:t>
      </w:r>
      <w:r>
        <w:rPr>
          <w:rFonts w:hint="eastAsia" w:ascii="宋体" w:hAnsi="宋体" w:eastAsia="宋体" w:cs="宋体"/>
          <w:szCs w:val="21"/>
          <w:lang w:eastAsia="zh-CN"/>
        </w:rPr>
        <w:t>谈判</w:t>
      </w:r>
      <w:r>
        <w:rPr>
          <w:rFonts w:hint="eastAsia" w:ascii="宋体" w:hAnsi="宋体" w:eastAsia="宋体" w:cs="宋体"/>
          <w:szCs w:val="21"/>
        </w:rPr>
        <w:t>报价，或者在</w:t>
      </w:r>
      <w:r>
        <w:rPr>
          <w:rFonts w:hint="eastAsia" w:ascii="宋体" w:hAnsi="宋体" w:eastAsia="宋体" w:cs="宋体"/>
          <w:szCs w:val="21"/>
          <w:lang w:eastAsia="zh-CN"/>
        </w:rPr>
        <w:t>响应文件</w:t>
      </w:r>
      <w:r>
        <w:rPr>
          <w:rFonts w:hint="eastAsia" w:ascii="宋体" w:hAnsi="宋体" w:eastAsia="宋体" w:cs="宋体"/>
          <w:szCs w:val="21"/>
        </w:rPr>
        <w:t>中提供一个报价，但同时提供两个或两个以上</w:t>
      </w:r>
      <w:bookmarkStart w:id="277" w:name="_Toc384308232"/>
      <w:bookmarkStart w:id="278" w:name="_Toc300834971"/>
      <w:bookmarkStart w:id="279" w:name="_Toc369531538"/>
      <w:bookmarkStart w:id="280" w:name="_Toc144974518"/>
      <w:bookmarkStart w:id="281" w:name="_Toc352691495"/>
      <w:bookmarkStart w:id="282" w:name="_Toc152042326"/>
      <w:bookmarkStart w:id="283" w:name="_Toc247527575"/>
      <w:bookmarkStart w:id="284" w:name="_Toc361508607"/>
      <w:bookmarkStart w:id="285" w:name="_Toc152045550"/>
      <w:bookmarkStart w:id="286" w:name="_Toc29902"/>
      <w:bookmarkStart w:id="287" w:name="_Toc247513974"/>
      <w:r>
        <w:rPr>
          <w:rFonts w:hint="eastAsia" w:ascii="宋体" w:hAnsi="宋体" w:eastAsia="宋体" w:cs="宋体"/>
          <w:szCs w:val="21"/>
        </w:rPr>
        <w:t>设计方案的</w:t>
      </w:r>
      <w:bookmarkEnd w:id="277"/>
      <w:bookmarkEnd w:id="278"/>
      <w:bookmarkEnd w:id="279"/>
      <w:bookmarkEnd w:id="280"/>
      <w:bookmarkEnd w:id="281"/>
      <w:bookmarkEnd w:id="282"/>
      <w:bookmarkEnd w:id="283"/>
      <w:bookmarkEnd w:id="284"/>
      <w:bookmarkEnd w:id="285"/>
      <w:bookmarkEnd w:id="286"/>
      <w:bookmarkEnd w:id="287"/>
      <w:r>
        <w:rPr>
          <w:rFonts w:hint="eastAsia" w:ascii="宋体" w:hAnsi="宋体" w:eastAsia="宋体" w:cs="宋体"/>
          <w:szCs w:val="21"/>
        </w:rPr>
        <w:t>，视为提供备选方案。</w:t>
      </w:r>
    </w:p>
    <w:p w14:paraId="02C4FCE7">
      <w:pPr>
        <w:pStyle w:val="5"/>
        <w:spacing w:before="0" w:after="0" w:line="360" w:lineRule="exact"/>
        <w:ind w:firstLine="420" w:firstLineChars="200"/>
        <w:jc w:val="left"/>
        <w:rPr>
          <w:rFonts w:ascii="宋体" w:hAnsi="宋体" w:eastAsia="宋体" w:cs="宋体"/>
          <w:sz w:val="21"/>
          <w:szCs w:val="21"/>
        </w:rPr>
      </w:pPr>
      <w:bookmarkStart w:id="288" w:name="_Toc17385"/>
      <w:bookmarkStart w:id="289" w:name="_Toc74125905"/>
      <w:bookmarkStart w:id="290" w:name="_Toc10525"/>
      <w:bookmarkStart w:id="291" w:name="_Toc69937179"/>
      <w:bookmarkStart w:id="292" w:name="_Toc80884477"/>
      <w:bookmarkStart w:id="293" w:name="_Toc20977"/>
      <w:r>
        <w:rPr>
          <w:rFonts w:hint="eastAsia" w:ascii="宋体" w:hAnsi="宋体" w:eastAsia="宋体" w:cs="宋体"/>
          <w:sz w:val="21"/>
          <w:szCs w:val="21"/>
        </w:rPr>
        <w:t xml:space="preserve">3.7 </w:t>
      </w:r>
      <w:r>
        <w:rPr>
          <w:rFonts w:hint="eastAsia" w:ascii="宋体" w:hAnsi="宋体" w:eastAsia="宋体" w:cs="宋体"/>
          <w:sz w:val="21"/>
          <w:szCs w:val="21"/>
          <w:lang w:eastAsia="zh-CN"/>
        </w:rPr>
        <w:t>响应文件</w:t>
      </w:r>
      <w:r>
        <w:rPr>
          <w:rFonts w:hint="eastAsia" w:ascii="宋体" w:hAnsi="宋体" w:eastAsia="宋体" w:cs="宋体"/>
          <w:sz w:val="21"/>
          <w:szCs w:val="21"/>
        </w:rPr>
        <w:t>的编制</w:t>
      </w:r>
      <w:bookmarkEnd w:id="288"/>
      <w:bookmarkEnd w:id="289"/>
      <w:bookmarkEnd w:id="290"/>
      <w:bookmarkEnd w:id="291"/>
      <w:bookmarkEnd w:id="292"/>
      <w:bookmarkEnd w:id="293"/>
    </w:p>
    <w:p w14:paraId="2EDD295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3.7.1 </w:t>
      </w:r>
      <w:r>
        <w:rPr>
          <w:rFonts w:hint="eastAsia" w:ascii="宋体" w:hAnsi="宋体" w:eastAsia="宋体" w:cs="宋体"/>
          <w:szCs w:val="21"/>
          <w:lang w:eastAsia="zh-CN"/>
        </w:rPr>
        <w:t>响应文件</w:t>
      </w:r>
      <w:r>
        <w:rPr>
          <w:rFonts w:hint="eastAsia" w:ascii="宋体" w:hAnsi="宋体" w:eastAsia="宋体" w:cs="宋体"/>
          <w:szCs w:val="21"/>
        </w:rPr>
        <w:t>应按第</w:t>
      </w:r>
      <w:r>
        <w:rPr>
          <w:rFonts w:hint="eastAsia" w:ascii="宋体" w:hAnsi="宋体" w:eastAsia="宋体" w:cs="宋体"/>
          <w:szCs w:val="21"/>
          <w:lang w:eastAsia="zh-CN"/>
        </w:rPr>
        <w:t>五</w:t>
      </w:r>
      <w:r>
        <w:rPr>
          <w:rFonts w:hint="eastAsia" w:ascii="宋体" w:hAnsi="宋体" w:eastAsia="宋体" w:cs="宋体"/>
          <w:szCs w:val="21"/>
        </w:rPr>
        <w:t>章“</w:t>
      </w:r>
      <w:r>
        <w:rPr>
          <w:rFonts w:hint="eastAsia" w:ascii="宋体" w:hAnsi="宋体" w:eastAsia="宋体" w:cs="宋体"/>
          <w:szCs w:val="21"/>
          <w:lang w:eastAsia="zh-CN"/>
        </w:rPr>
        <w:t>响应文件</w:t>
      </w:r>
      <w:r>
        <w:rPr>
          <w:rFonts w:hint="eastAsia" w:ascii="宋体" w:hAnsi="宋体" w:eastAsia="宋体" w:cs="宋体"/>
          <w:szCs w:val="21"/>
        </w:rPr>
        <w:t>格式”进行编写，如有必要，可以增加附页，作为</w:t>
      </w:r>
      <w:r>
        <w:rPr>
          <w:rFonts w:hint="eastAsia" w:ascii="宋体" w:hAnsi="宋体" w:eastAsia="宋体" w:cs="宋体"/>
          <w:szCs w:val="21"/>
          <w:lang w:eastAsia="zh-CN"/>
        </w:rPr>
        <w:t>响应文件</w:t>
      </w:r>
      <w:r>
        <w:rPr>
          <w:rFonts w:hint="eastAsia" w:ascii="宋体" w:hAnsi="宋体" w:eastAsia="宋体" w:cs="宋体"/>
          <w:szCs w:val="21"/>
        </w:rPr>
        <w:t>的组成部分。其中，</w:t>
      </w:r>
      <w:r>
        <w:rPr>
          <w:rFonts w:hint="eastAsia" w:ascii="宋体" w:hAnsi="宋体" w:eastAsia="宋体" w:cs="宋体"/>
          <w:szCs w:val="21"/>
          <w:lang w:eastAsia="zh-CN"/>
        </w:rPr>
        <w:t>谈判</w:t>
      </w:r>
      <w:r>
        <w:rPr>
          <w:rFonts w:hint="eastAsia" w:ascii="宋体" w:hAnsi="宋体" w:eastAsia="宋体" w:cs="宋体"/>
          <w:szCs w:val="21"/>
        </w:rPr>
        <w:t>报价函附录在满足</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实质性要求的基础上，可以提出比</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要求更有利于采购人的承诺。</w:t>
      </w:r>
    </w:p>
    <w:p w14:paraId="15433E73">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3.7.2 </w:t>
      </w:r>
      <w:r>
        <w:rPr>
          <w:rFonts w:hint="eastAsia" w:ascii="宋体" w:hAnsi="宋体" w:eastAsia="宋体" w:cs="宋体"/>
          <w:szCs w:val="21"/>
          <w:lang w:eastAsia="zh-CN"/>
        </w:rPr>
        <w:t>响应文件</w:t>
      </w:r>
      <w:r>
        <w:rPr>
          <w:rFonts w:hint="eastAsia" w:ascii="宋体" w:hAnsi="宋体" w:eastAsia="宋体" w:cs="宋体"/>
          <w:szCs w:val="21"/>
        </w:rPr>
        <w:t>应当对</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有关服务期限、</w:t>
      </w:r>
      <w:r>
        <w:rPr>
          <w:rFonts w:hint="eastAsia" w:ascii="宋体" w:hAnsi="宋体" w:eastAsia="宋体" w:cs="宋体"/>
          <w:szCs w:val="21"/>
          <w:lang w:eastAsia="zh-CN"/>
        </w:rPr>
        <w:t>谈判</w:t>
      </w:r>
      <w:r>
        <w:rPr>
          <w:rFonts w:hint="eastAsia" w:ascii="宋体" w:hAnsi="宋体" w:eastAsia="宋体" w:cs="宋体"/>
          <w:szCs w:val="21"/>
        </w:rPr>
        <w:t>有效期、发包人要求、采购范围等实质性内容作出响应。</w:t>
      </w:r>
    </w:p>
    <w:p w14:paraId="26CCB9A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3.7.3（1）</w:t>
      </w:r>
      <w:r>
        <w:rPr>
          <w:rFonts w:hint="eastAsia" w:ascii="宋体" w:hAnsi="宋体" w:eastAsia="宋体" w:cs="宋体"/>
          <w:szCs w:val="21"/>
          <w:lang w:eastAsia="zh-CN"/>
        </w:rPr>
        <w:t>响应文件</w:t>
      </w:r>
      <w:r>
        <w:rPr>
          <w:rFonts w:hint="eastAsia" w:ascii="宋体" w:hAnsi="宋体" w:eastAsia="宋体" w:cs="宋体"/>
          <w:szCs w:val="21"/>
        </w:rPr>
        <w:t>应用不褪色的材料书写或打印，</w:t>
      </w:r>
      <w:r>
        <w:rPr>
          <w:rFonts w:hint="eastAsia" w:ascii="宋体" w:hAnsi="宋体" w:eastAsia="宋体" w:cs="宋体"/>
          <w:szCs w:val="21"/>
          <w:lang w:eastAsia="zh-CN"/>
        </w:rPr>
        <w:t>谈判</w:t>
      </w:r>
      <w:r>
        <w:rPr>
          <w:rFonts w:hint="eastAsia" w:ascii="宋体" w:hAnsi="宋体" w:eastAsia="宋体" w:cs="宋体"/>
          <w:szCs w:val="21"/>
        </w:rPr>
        <w:t>报价函、</w:t>
      </w:r>
      <w:r>
        <w:rPr>
          <w:rFonts w:hint="eastAsia" w:ascii="宋体" w:hAnsi="宋体" w:eastAsia="宋体" w:cs="宋体"/>
          <w:szCs w:val="21"/>
          <w:lang w:eastAsia="zh-CN"/>
        </w:rPr>
        <w:t>谈判</w:t>
      </w:r>
      <w:r>
        <w:rPr>
          <w:rFonts w:hint="eastAsia" w:ascii="宋体" w:hAnsi="宋体" w:eastAsia="宋体" w:cs="宋体"/>
          <w:szCs w:val="21"/>
        </w:rPr>
        <w:t>报价函附录及对</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的澄清、说明和补正应由供应商的法定代表人或其授权的代理人签字或盖单位章。由供应商的法定代表人签字的，应附法定代表人身份证明，由代理人签字的，应附授权委托书，身份证明或授权委托书应符合第</w:t>
      </w:r>
      <w:r>
        <w:rPr>
          <w:rFonts w:hint="eastAsia" w:ascii="宋体" w:hAnsi="宋体" w:eastAsia="宋体" w:cs="宋体"/>
          <w:szCs w:val="21"/>
          <w:lang w:eastAsia="zh-CN"/>
        </w:rPr>
        <w:t>五</w:t>
      </w:r>
      <w:r>
        <w:rPr>
          <w:rFonts w:hint="eastAsia" w:ascii="宋体" w:hAnsi="宋体" w:eastAsia="宋体" w:cs="宋体"/>
          <w:szCs w:val="21"/>
        </w:rPr>
        <w:t>章“</w:t>
      </w:r>
      <w:r>
        <w:rPr>
          <w:rFonts w:hint="eastAsia" w:ascii="宋体" w:hAnsi="宋体" w:eastAsia="宋体" w:cs="宋体"/>
          <w:szCs w:val="21"/>
          <w:lang w:eastAsia="zh-CN"/>
        </w:rPr>
        <w:t>响应文件</w:t>
      </w:r>
      <w:r>
        <w:rPr>
          <w:rFonts w:hint="eastAsia" w:ascii="宋体" w:hAnsi="宋体" w:eastAsia="宋体" w:cs="宋体"/>
          <w:szCs w:val="21"/>
        </w:rPr>
        <w:t>格式”的要求。</w:t>
      </w:r>
      <w:r>
        <w:rPr>
          <w:rFonts w:hint="eastAsia" w:ascii="宋体" w:hAnsi="宋体" w:eastAsia="宋体" w:cs="宋体"/>
          <w:szCs w:val="21"/>
          <w:lang w:eastAsia="zh-CN"/>
        </w:rPr>
        <w:t>响应文件</w:t>
      </w:r>
      <w:r>
        <w:rPr>
          <w:rFonts w:hint="eastAsia" w:ascii="宋体" w:hAnsi="宋体" w:eastAsia="宋体" w:cs="宋体"/>
          <w:szCs w:val="21"/>
        </w:rPr>
        <w:t>应尽量避免涂改、行间插字或删除。如果出现上述情况，改动之处应由供应商的法定代表人或其授权的代理人签字或盖单位章。</w:t>
      </w:r>
    </w:p>
    <w:p w14:paraId="3720A57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eastAsia="zh-CN"/>
        </w:rPr>
        <w:t>响应文件</w:t>
      </w:r>
      <w:r>
        <w:rPr>
          <w:rFonts w:hint="eastAsia" w:ascii="宋体" w:hAnsi="宋体" w:eastAsia="宋体" w:cs="宋体"/>
          <w:szCs w:val="21"/>
        </w:rPr>
        <w:t>正本一份，副本份数见供应商须知前附表。正本和副本的封面</w:t>
      </w:r>
      <w:r>
        <w:rPr>
          <w:rStyle w:val="46"/>
          <w:rFonts w:hint="eastAsia" w:ascii="宋体" w:hAnsi="宋体" w:eastAsia="宋体" w:cs="宋体"/>
          <w:kern w:val="0"/>
          <w:szCs w:val="21"/>
        </w:rPr>
        <w:t>右上角</w:t>
      </w:r>
      <w:r>
        <w:rPr>
          <w:rFonts w:hint="eastAsia" w:ascii="宋体" w:hAnsi="宋体" w:eastAsia="宋体" w:cs="宋体"/>
          <w:szCs w:val="21"/>
        </w:rPr>
        <w:t>上应清楚地标记“正本”或“副本”的字样。供应商应根据供应商须知前附表要求提供电子版文件。当副本和正本不一致或电子版文件和纸质正本文件不一致时，以纸质正本文件为准。</w:t>
      </w:r>
    </w:p>
    <w:p w14:paraId="300A8C3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eastAsia="zh-CN"/>
        </w:rPr>
        <w:t>响应文件</w:t>
      </w:r>
      <w:r>
        <w:rPr>
          <w:rFonts w:hint="eastAsia" w:ascii="宋体" w:hAnsi="宋体" w:eastAsia="宋体" w:cs="宋体"/>
          <w:szCs w:val="21"/>
        </w:rPr>
        <w:t>的正本与副本应分别装订，并编制目录，</w:t>
      </w:r>
      <w:r>
        <w:rPr>
          <w:rFonts w:hint="eastAsia" w:ascii="宋体" w:hAnsi="宋体" w:eastAsia="宋体" w:cs="宋体"/>
          <w:szCs w:val="21"/>
          <w:lang w:eastAsia="zh-CN"/>
        </w:rPr>
        <w:t>响应文件</w:t>
      </w:r>
      <w:r>
        <w:rPr>
          <w:rFonts w:hint="eastAsia" w:ascii="宋体" w:hAnsi="宋体" w:eastAsia="宋体" w:cs="宋体"/>
          <w:szCs w:val="21"/>
        </w:rPr>
        <w:t>需分册装订的，具体分册装订要求见供应商须知前附表规定。</w:t>
      </w:r>
    </w:p>
    <w:p w14:paraId="40DA0D03">
      <w:pPr>
        <w:pStyle w:val="4"/>
        <w:spacing w:before="0" w:after="0" w:line="360" w:lineRule="exact"/>
        <w:jc w:val="left"/>
        <w:rPr>
          <w:rFonts w:ascii="宋体" w:hAnsi="宋体" w:eastAsia="宋体" w:cs="宋体"/>
          <w:sz w:val="21"/>
          <w:szCs w:val="21"/>
        </w:rPr>
      </w:pPr>
      <w:bookmarkStart w:id="294" w:name="_Toc28638"/>
      <w:bookmarkStart w:id="295" w:name="_Toc13939"/>
      <w:bookmarkStart w:id="296" w:name="_Toc80884478"/>
      <w:bookmarkStart w:id="297" w:name="_Toc69937180"/>
      <w:bookmarkStart w:id="298" w:name="_Toc74125906"/>
      <w:bookmarkStart w:id="299" w:name="_Toc14507"/>
      <w:r>
        <w:rPr>
          <w:rFonts w:hint="eastAsia" w:ascii="宋体" w:hAnsi="宋体" w:eastAsia="宋体" w:cs="宋体"/>
          <w:sz w:val="21"/>
          <w:szCs w:val="21"/>
        </w:rPr>
        <w:t xml:space="preserve">4. </w:t>
      </w:r>
      <w:bookmarkEnd w:id="294"/>
      <w:r>
        <w:rPr>
          <w:rFonts w:hint="eastAsia" w:ascii="宋体" w:hAnsi="宋体" w:eastAsia="宋体" w:cs="宋体"/>
          <w:sz w:val="21"/>
          <w:szCs w:val="21"/>
          <w:lang w:eastAsia="zh-CN"/>
        </w:rPr>
        <w:t>响应文件</w:t>
      </w:r>
      <w:r>
        <w:rPr>
          <w:rFonts w:hint="eastAsia" w:ascii="宋体" w:hAnsi="宋体" w:eastAsia="宋体" w:cs="宋体"/>
          <w:sz w:val="21"/>
          <w:szCs w:val="21"/>
        </w:rPr>
        <w:t>的提交</w:t>
      </w:r>
      <w:bookmarkEnd w:id="295"/>
      <w:bookmarkEnd w:id="296"/>
      <w:bookmarkEnd w:id="297"/>
      <w:bookmarkEnd w:id="298"/>
      <w:bookmarkEnd w:id="299"/>
    </w:p>
    <w:p w14:paraId="6387679B">
      <w:pPr>
        <w:pStyle w:val="5"/>
        <w:spacing w:before="0" w:after="0" w:line="360" w:lineRule="exact"/>
        <w:ind w:firstLine="420" w:firstLineChars="200"/>
        <w:jc w:val="left"/>
        <w:rPr>
          <w:rFonts w:ascii="宋体" w:hAnsi="宋体" w:eastAsia="宋体" w:cs="宋体"/>
          <w:sz w:val="21"/>
          <w:szCs w:val="21"/>
        </w:rPr>
      </w:pPr>
      <w:bookmarkStart w:id="300" w:name="_Toc1692"/>
      <w:bookmarkStart w:id="301" w:name="_Toc80884479"/>
      <w:bookmarkStart w:id="302" w:name="_Toc74125907"/>
      <w:bookmarkStart w:id="303" w:name="_Toc10689"/>
      <w:bookmarkStart w:id="304" w:name="_Toc69937181"/>
      <w:bookmarkStart w:id="305" w:name="_Toc26470"/>
      <w:r>
        <w:rPr>
          <w:rFonts w:hint="eastAsia" w:ascii="宋体" w:hAnsi="宋体" w:eastAsia="宋体" w:cs="宋体"/>
          <w:sz w:val="21"/>
          <w:szCs w:val="21"/>
        </w:rPr>
        <w:t xml:space="preserve">4.1 </w:t>
      </w:r>
      <w:r>
        <w:rPr>
          <w:rFonts w:hint="eastAsia" w:ascii="宋体" w:hAnsi="宋体" w:eastAsia="宋体" w:cs="宋体"/>
          <w:sz w:val="21"/>
          <w:szCs w:val="21"/>
          <w:lang w:eastAsia="zh-CN"/>
        </w:rPr>
        <w:t>响应文件</w:t>
      </w:r>
      <w:r>
        <w:rPr>
          <w:rFonts w:hint="eastAsia" w:ascii="宋体" w:hAnsi="宋体" w:eastAsia="宋体" w:cs="宋体"/>
          <w:sz w:val="21"/>
          <w:szCs w:val="21"/>
        </w:rPr>
        <w:t>的密封和标记</w:t>
      </w:r>
      <w:bookmarkEnd w:id="300"/>
      <w:bookmarkEnd w:id="301"/>
      <w:bookmarkEnd w:id="302"/>
      <w:bookmarkEnd w:id="303"/>
      <w:bookmarkEnd w:id="304"/>
      <w:bookmarkEnd w:id="305"/>
    </w:p>
    <w:p w14:paraId="434D425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4.1.1 </w:t>
      </w:r>
      <w:r>
        <w:rPr>
          <w:rFonts w:hint="eastAsia" w:ascii="宋体" w:hAnsi="宋体" w:eastAsia="宋体" w:cs="宋体"/>
          <w:szCs w:val="21"/>
          <w:lang w:eastAsia="zh-CN"/>
        </w:rPr>
        <w:t>响应文件</w:t>
      </w:r>
      <w:r>
        <w:rPr>
          <w:rFonts w:hint="eastAsia" w:ascii="宋体" w:hAnsi="宋体" w:eastAsia="宋体" w:cs="宋体"/>
          <w:szCs w:val="21"/>
        </w:rPr>
        <w:t>应密封包装，并在封套的封口处加盖供应商单位章或由供应商的法定代表人或其授权的代理人签字。</w:t>
      </w:r>
    </w:p>
    <w:p w14:paraId="7647ECFF">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4.1.2 </w:t>
      </w:r>
      <w:r>
        <w:rPr>
          <w:rFonts w:hint="eastAsia" w:ascii="宋体" w:hAnsi="宋体" w:eastAsia="宋体" w:cs="宋体"/>
          <w:szCs w:val="21"/>
          <w:lang w:eastAsia="zh-CN"/>
        </w:rPr>
        <w:t>响应文件</w:t>
      </w:r>
      <w:r>
        <w:rPr>
          <w:rFonts w:hint="eastAsia" w:ascii="宋体" w:hAnsi="宋体" w:eastAsia="宋体" w:cs="宋体"/>
          <w:szCs w:val="21"/>
        </w:rPr>
        <w:t>封套上应写明的内容见供应商须知前附表。</w:t>
      </w:r>
    </w:p>
    <w:p w14:paraId="40F2C80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4.1.3 未按本章第4.1.1项要求密封的</w:t>
      </w:r>
      <w:r>
        <w:rPr>
          <w:rFonts w:hint="eastAsia" w:ascii="宋体" w:hAnsi="宋体" w:eastAsia="宋体" w:cs="宋体"/>
          <w:szCs w:val="21"/>
          <w:lang w:eastAsia="zh-CN"/>
        </w:rPr>
        <w:t>响应文件</w:t>
      </w:r>
      <w:r>
        <w:rPr>
          <w:rFonts w:hint="eastAsia" w:ascii="宋体" w:hAnsi="宋体" w:eastAsia="宋体" w:cs="宋体"/>
          <w:szCs w:val="21"/>
        </w:rPr>
        <w:t>，采购人将予以拒收。</w:t>
      </w:r>
    </w:p>
    <w:p w14:paraId="0241154C">
      <w:pPr>
        <w:pStyle w:val="5"/>
        <w:spacing w:before="0" w:after="0" w:line="360" w:lineRule="exact"/>
        <w:ind w:firstLine="420" w:firstLineChars="200"/>
        <w:jc w:val="left"/>
        <w:rPr>
          <w:rFonts w:ascii="宋体" w:hAnsi="宋体" w:eastAsia="宋体" w:cs="宋体"/>
          <w:sz w:val="21"/>
          <w:szCs w:val="21"/>
        </w:rPr>
      </w:pPr>
      <w:bookmarkStart w:id="306" w:name="_Toc18495"/>
      <w:bookmarkStart w:id="307" w:name="_Toc69937182"/>
      <w:bookmarkStart w:id="308" w:name="_Toc80884480"/>
      <w:bookmarkStart w:id="309" w:name="_Toc19915"/>
      <w:bookmarkStart w:id="310" w:name="_Toc74125908"/>
      <w:bookmarkStart w:id="311" w:name="_Toc7791"/>
      <w:r>
        <w:rPr>
          <w:rFonts w:hint="eastAsia" w:ascii="宋体" w:hAnsi="宋体" w:eastAsia="宋体" w:cs="宋体"/>
          <w:sz w:val="21"/>
          <w:szCs w:val="21"/>
        </w:rPr>
        <w:t xml:space="preserve">4.2 </w:t>
      </w:r>
      <w:r>
        <w:rPr>
          <w:rFonts w:hint="eastAsia" w:ascii="宋体" w:hAnsi="宋体" w:eastAsia="宋体" w:cs="宋体"/>
          <w:sz w:val="21"/>
          <w:szCs w:val="21"/>
          <w:lang w:eastAsia="zh-CN"/>
        </w:rPr>
        <w:t>响应文件</w:t>
      </w:r>
      <w:r>
        <w:rPr>
          <w:rFonts w:hint="eastAsia" w:ascii="宋体" w:hAnsi="宋体" w:eastAsia="宋体" w:cs="宋体"/>
          <w:sz w:val="21"/>
          <w:szCs w:val="21"/>
        </w:rPr>
        <w:t>的递交</w:t>
      </w:r>
      <w:bookmarkEnd w:id="306"/>
      <w:bookmarkEnd w:id="307"/>
      <w:bookmarkEnd w:id="308"/>
      <w:bookmarkEnd w:id="309"/>
      <w:bookmarkEnd w:id="310"/>
      <w:bookmarkEnd w:id="311"/>
    </w:p>
    <w:p w14:paraId="32095683">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4.2.1 供应商应在供应商须知前附表规定的</w:t>
      </w:r>
      <w:r>
        <w:rPr>
          <w:rFonts w:hint="eastAsia" w:ascii="宋体" w:hAnsi="宋体" w:eastAsia="宋体" w:cs="宋体"/>
          <w:szCs w:val="21"/>
          <w:lang w:eastAsia="zh-CN"/>
        </w:rPr>
        <w:t>谈判</w:t>
      </w:r>
      <w:r>
        <w:rPr>
          <w:rFonts w:hint="eastAsia" w:ascii="宋体" w:hAnsi="宋体" w:eastAsia="宋体" w:cs="宋体"/>
          <w:szCs w:val="21"/>
        </w:rPr>
        <w:t>截止时间前递交</w:t>
      </w:r>
      <w:r>
        <w:rPr>
          <w:rFonts w:hint="eastAsia" w:ascii="宋体" w:hAnsi="宋体" w:eastAsia="宋体" w:cs="宋体"/>
          <w:szCs w:val="21"/>
          <w:lang w:eastAsia="zh-CN"/>
        </w:rPr>
        <w:t>响应文件</w:t>
      </w:r>
      <w:r>
        <w:rPr>
          <w:rFonts w:hint="eastAsia" w:ascii="宋体" w:hAnsi="宋体" w:eastAsia="宋体" w:cs="宋体"/>
          <w:szCs w:val="21"/>
        </w:rPr>
        <w:t>。</w:t>
      </w:r>
    </w:p>
    <w:p w14:paraId="0E520D4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4.2.2 供应商递交</w:t>
      </w:r>
      <w:r>
        <w:rPr>
          <w:rFonts w:hint="eastAsia" w:ascii="宋体" w:hAnsi="宋体" w:eastAsia="宋体" w:cs="宋体"/>
          <w:szCs w:val="21"/>
          <w:lang w:eastAsia="zh-CN"/>
        </w:rPr>
        <w:t>响应文件</w:t>
      </w:r>
      <w:r>
        <w:rPr>
          <w:rFonts w:hint="eastAsia" w:ascii="宋体" w:hAnsi="宋体" w:eastAsia="宋体" w:cs="宋体"/>
          <w:szCs w:val="21"/>
        </w:rPr>
        <w:t>的地点：见供应商须知前附表。</w:t>
      </w:r>
    </w:p>
    <w:p w14:paraId="6DFFDBB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4.2.3 除供应商须知前附表另有规定外，供应商所递交的</w:t>
      </w:r>
      <w:r>
        <w:rPr>
          <w:rFonts w:hint="eastAsia" w:ascii="宋体" w:hAnsi="宋体" w:eastAsia="宋体" w:cs="宋体"/>
          <w:szCs w:val="21"/>
          <w:lang w:eastAsia="zh-CN"/>
        </w:rPr>
        <w:t>响应文件</w:t>
      </w:r>
      <w:r>
        <w:rPr>
          <w:rFonts w:hint="eastAsia" w:ascii="宋体" w:hAnsi="宋体" w:eastAsia="宋体" w:cs="宋体"/>
          <w:szCs w:val="21"/>
        </w:rPr>
        <w:t>不予退还。</w:t>
      </w:r>
    </w:p>
    <w:p w14:paraId="612366C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4.2.4采购人收到</w:t>
      </w:r>
      <w:r>
        <w:rPr>
          <w:rFonts w:hint="eastAsia" w:ascii="宋体" w:hAnsi="宋体" w:eastAsia="宋体" w:cs="宋体"/>
          <w:szCs w:val="21"/>
          <w:lang w:eastAsia="zh-CN"/>
        </w:rPr>
        <w:t>响应文件</w:t>
      </w:r>
      <w:r>
        <w:rPr>
          <w:rFonts w:hint="eastAsia" w:ascii="宋体" w:hAnsi="宋体" w:eastAsia="宋体" w:cs="宋体"/>
          <w:szCs w:val="21"/>
        </w:rPr>
        <w:t>后，向供应商出具签收凭证。</w:t>
      </w:r>
    </w:p>
    <w:p w14:paraId="1FD9172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4.2.5 逾期送达的</w:t>
      </w:r>
      <w:r>
        <w:rPr>
          <w:rFonts w:hint="eastAsia" w:ascii="宋体" w:hAnsi="宋体" w:eastAsia="宋体" w:cs="宋体"/>
          <w:szCs w:val="21"/>
          <w:lang w:eastAsia="zh-CN"/>
        </w:rPr>
        <w:t>响应文件</w:t>
      </w:r>
      <w:r>
        <w:rPr>
          <w:rFonts w:hint="eastAsia" w:ascii="宋体" w:hAnsi="宋体" w:eastAsia="宋体" w:cs="宋体"/>
          <w:szCs w:val="21"/>
        </w:rPr>
        <w:t>，采购人将予以拒收。</w:t>
      </w:r>
    </w:p>
    <w:p w14:paraId="47B1F3BE">
      <w:pPr>
        <w:pStyle w:val="5"/>
        <w:spacing w:before="0" w:after="0" w:line="360" w:lineRule="exact"/>
        <w:ind w:firstLine="420" w:firstLineChars="200"/>
        <w:jc w:val="left"/>
        <w:rPr>
          <w:rFonts w:ascii="宋体" w:hAnsi="宋体" w:eastAsia="宋体" w:cs="宋体"/>
          <w:sz w:val="21"/>
          <w:szCs w:val="21"/>
        </w:rPr>
      </w:pPr>
      <w:bookmarkStart w:id="312" w:name="_Toc69937183"/>
      <w:bookmarkStart w:id="313" w:name="_Toc11121"/>
      <w:bookmarkStart w:id="314" w:name="_Toc13841"/>
      <w:bookmarkStart w:id="315" w:name="_Toc74125909"/>
      <w:bookmarkStart w:id="316" w:name="_Toc13063"/>
      <w:bookmarkStart w:id="317" w:name="_Toc80884481"/>
      <w:r>
        <w:rPr>
          <w:rFonts w:hint="eastAsia" w:ascii="宋体" w:hAnsi="宋体" w:eastAsia="宋体" w:cs="宋体"/>
          <w:sz w:val="21"/>
          <w:szCs w:val="21"/>
        </w:rPr>
        <w:t xml:space="preserve">4.3 </w:t>
      </w:r>
      <w:r>
        <w:rPr>
          <w:rFonts w:hint="eastAsia" w:ascii="宋体" w:hAnsi="宋体" w:eastAsia="宋体" w:cs="宋体"/>
          <w:sz w:val="21"/>
          <w:szCs w:val="21"/>
          <w:lang w:eastAsia="zh-CN"/>
        </w:rPr>
        <w:t>响应文件</w:t>
      </w:r>
      <w:r>
        <w:rPr>
          <w:rFonts w:hint="eastAsia" w:ascii="宋体" w:hAnsi="宋体" w:eastAsia="宋体" w:cs="宋体"/>
          <w:sz w:val="21"/>
          <w:szCs w:val="21"/>
        </w:rPr>
        <w:t>的修改与撤回</w:t>
      </w:r>
      <w:bookmarkEnd w:id="312"/>
      <w:bookmarkEnd w:id="313"/>
      <w:bookmarkEnd w:id="314"/>
      <w:bookmarkEnd w:id="315"/>
      <w:bookmarkEnd w:id="316"/>
      <w:bookmarkEnd w:id="317"/>
    </w:p>
    <w:p w14:paraId="461DEB1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4.3.1 在本章第4.2.1项规定的</w:t>
      </w:r>
      <w:r>
        <w:rPr>
          <w:rFonts w:hint="eastAsia" w:ascii="宋体" w:hAnsi="宋体" w:eastAsia="宋体" w:cs="宋体"/>
          <w:szCs w:val="21"/>
          <w:lang w:eastAsia="zh-CN"/>
        </w:rPr>
        <w:t>谈判</w:t>
      </w:r>
      <w:r>
        <w:rPr>
          <w:rFonts w:hint="eastAsia" w:ascii="宋体" w:hAnsi="宋体" w:eastAsia="宋体" w:cs="宋体"/>
          <w:szCs w:val="21"/>
        </w:rPr>
        <w:t>截止时间前，供应商可以修改或撤回已递交的</w:t>
      </w:r>
      <w:r>
        <w:rPr>
          <w:rFonts w:hint="eastAsia" w:ascii="宋体" w:hAnsi="宋体" w:eastAsia="宋体" w:cs="宋体"/>
          <w:szCs w:val="21"/>
          <w:lang w:eastAsia="zh-CN"/>
        </w:rPr>
        <w:t>响应文件</w:t>
      </w:r>
      <w:r>
        <w:rPr>
          <w:rFonts w:hint="eastAsia" w:ascii="宋体" w:hAnsi="宋体" w:eastAsia="宋体" w:cs="宋体"/>
          <w:szCs w:val="21"/>
        </w:rPr>
        <w:t>，但应以书面形式通知采购人。</w:t>
      </w:r>
    </w:p>
    <w:p w14:paraId="184D4EE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4.3.2 供应商修改或撤回已递交</w:t>
      </w:r>
      <w:r>
        <w:rPr>
          <w:rFonts w:hint="eastAsia" w:ascii="宋体" w:hAnsi="宋体" w:eastAsia="宋体" w:cs="宋体"/>
          <w:szCs w:val="21"/>
          <w:lang w:eastAsia="zh-CN"/>
        </w:rPr>
        <w:t>响应文件</w:t>
      </w:r>
      <w:r>
        <w:rPr>
          <w:rFonts w:hint="eastAsia" w:ascii="宋体" w:hAnsi="宋体" w:eastAsia="宋体" w:cs="宋体"/>
          <w:szCs w:val="21"/>
        </w:rPr>
        <w:t>的书面通知应按照本章第3.7.3项的要求签字或盖章。采购人收到书面通知后，向供应商出具签收凭证。</w:t>
      </w:r>
    </w:p>
    <w:p w14:paraId="79F3FDC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4.3.3 供应商撤回</w:t>
      </w:r>
      <w:r>
        <w:rPr>
          <w:rFonts w:hint="eastAsia" w:ascii="宋体" w:hAnsi="宋体" w:eastAsia="宋体" w:cs="宋体"/>
          <w:szCs w:val="21"/>
          <w:lang w:eastAsia="zh-CN"/>
        </w:rPr>
        <w:t>响应文件</w:t>
      </w:r>
      <w:r>
        <w:rPr>
          <w:rFonts w:hint="eastAsia" w:ascii="宋体" w:hAnsi="宋体" w:eastAsia="宋体" w:cs="宋体"/>
          <w:szCs w:val="21"/>
        </w:rPr>
        <w:t>的，采购人自收到供应商书面撤回通知之日起5日内退还已收取的</w:t>
      </w:r>
      <w:r>
        <w:rPr>
          <w:rFonts w:hint="eastAsia" w:ascii="宋体" w:hAnsi="宋体" w:eastAsia="宋体" w:cs="宋体"/>
          <w:szCs w:val="21"/>
          <w:lang w:eastAsia="zh-CN"/>
        </w:rPr>
        <w:t>谈判</w:t>
      </w:r>
      <w:r>
        <w:rPr>
          <w:rFonts w:hint="eastAsia" w:ascii="宋体" w:hAnsi="宋体" w:eastAsia="宋体" w:cs="宋体"/>
          <w:szCs w:val="21"/>
        </w:rPr>
        <w:t>保证金。</w:t>
      </w:r>
    </w:p>
    <w:p w14:paraId="6D4C3542">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4.3.</w:t>
      </w:r>
      <w:bookmarkStart w:id="318" w:name="_Toc19203"/>
      <w:bookmarkStart w:id="319" w:name="_Toc352691497"/>
      <w:bookmarkStart w:id="320" w:name="_Toc152045553"/>
      <w:bookmarkStart w:id="321" w:name="_Toc247527578"/>
      <w:bookmarkStart w:id="322" w:name="_Toc152042329"/>
      <w:bookmarkStart w:id="323" w:name="_Toc361508610"/>
      <w:bookmarkStart w:id="324" w:name="_Toc144974521"/>
      <w:bookmarkStart w:id="325" w:name="_Toc300834974"/>
      <w:bookmarkStart w:id="326" w:name="_Toc384308235"/>
      <w:bookmarkStart w:id="327" w:name="_Toc369531541"/>
      <w:bookmarkStart w:id="328" w:name="_Toc247513977"/>
      <w:r>
        <w:rPr>
          <w:rFonts w:hint="eastAsia" w:ascii="宋体" w:hAnsi="宋体" w:eastAsia="宋体" w:cs="宋体"/>
          <w:szCs w:val="21"/>
        </w:rPr>
        <w:t>4 修改的内容为</w:t>
      </w:r>
      <w:bookmarkEnd w:id="318"/>
      <w:bookmarkEnd w:id="319"/>
      <w:bookmarkEnd w:id="320"/>
      <w:bookmarkEnd w:id="321"/>
      <w:bookmarkEnd w:id="322"/>
      <w:bookmarkEnd w:id="323"/>
      <w:bookmarkEnd w:id="324"/>
      <w:bookmarkEnd w:id="325"/>
      <w:bookmarkEnd w:id="326"/>
      <w:bookmarkEnd w:id="327"/>
      <w:bookmarkEnd w:id="328"/>
      <w:r>
        <w:rPr>
          <w:rFonts w:hint="eastAsia" w:ascii="宋体" w:hAnsi="宋体" w:eastAsia="宋体" w:cs="宋体"/>
          <w:szCs w:val="21"/>
          <w:lang w:eastAsia="zh-CN"/>
        </w:rPr>
        <w:t>响应文件</w:t>
      </w:r>
      <w:r>
        <w:rPr>
          <w:rFonts w:hint="eastAsia" w:ascii="宋体" w:hAnsi="宋体" w:eastAsia="宋体" w:cs="宋体"/>
          <w:szCs w:val="21"/>
        </w:rPr>
        <w:t>的组成部分。修改的</w:t>
      </w:r>
      <w:r>
        <w:rPr>
          <w:rFonts w:hint="eastAsia" w:ascii="宋体" w:hAnsi="宋体" w:eastAsia="宋体" w:cs="宋体"/>
          <w:szCs w:val="21"/>
          <w:lang w:eastAsia="zh-CN"/>
        </w:rPr>
        <w:t>响应文件</w:t>
      </w:r>
      <w:r>
        <w:rPr>
          <w:rFonts w:hint="eastAsia" w:ascii="宋体" w:hAnsi="宋体" w:eastAsia="宋体" w:cs="宋体"/>
          <w:szCs w:val="21"/>
        </w:rPr>
        <w:t>应按照本章第3条、第4条的规定进行编制、密封、标记和递交，并标明“修改”字样。</w:t>
      </w:r>
    </w:p>
    <w:p w14:paraId="68051835">
      <w:pPr>
        <w:pStyle w:val="4"/>
        <w:spacing w:before="0" w:after="0" w:line="360" w:lineRule="exact"/>
        <w:ind w:firstLine="422" w:firstLineChars="200"/>
        <w:jc w:val="left"/>
        <w:rPr>
          <w:rFonts w:hint="eastAsia" w:ascii="宋体" w:hAnsi="宋体" w:eastAsia="宋体" w:cs="宋体"/>
          <w:sz w:val="21"/>
          <w:szCs w:val="21"/>
          <w:lang w:eastAsia="zh-CN"/>
        </w:rPr>
      </w:pPr>
      <w:bookmarkStart w:id="329" w:name="_Toc3647"/>
      <w:bookmarkStart w:id="330" w:name="_Toc25485"/>
      <w:bookmarkStart w:id="331" w:name="_Toc32269"/>
      <w:bookmarkStart w:id="332" w:name="_Toc74125910"/>
      <w:bookmarkStart w:id="333" w:name="_Toc80884482"/>
      <w:bookmarkStart w:id="334" w:name="_Toc69937184"/>
      <w:r>
        <w:rPr>
          <w:rFonts w:hint="eastAsia" w:ascii="宋体" w:hAnsi="宋体" w:eastAsia="宋体" w:cs="宋体"/>
          <w:sz w:val="21"/>
          <w:szCs w:val="21"/>
        </w:rPr>
        <w:t xml:space="preserve">5. </w:t>
      </w:r>
      <w:bookmarkEnd w:id="329"/>
      <w:bookmarkEnd w:id="330"/>
      <w:bookmarkEnd w:id="331"/>
      <w:bookmarkEnd w:id="332"/>
      <w:bookmarkEnd w:id="333"/>
      <w:bookmarkEnd w:id="334"/>
      <w:r>
        <w:rPr>
          <w:rFonts w:hint="eastAsia" w:ascii="宋体" w:hAnsi="宋体" w:eastAsia="宋体" w:cs="宋体"/>
          <w:sz w:val="21"/>
          <w:szCs w:val="21"/>
          <w:lang w:eastAsia="zh-CN"/>
        </w:rPr>
        <w:t>谈判</w:t>
      </w:r>
    </w:p>
    <w:p w14:paraId="074124A2">
      <w:pPr>
        <w:pStyle w:val="5"/>
        <w:spacing w:before="0" w:after="0" w:line="360" w:lineRule="exact"/>
        <w:ind w:firstLine="420" w:firstLineChars="200"/>
        <w:jc w:val="left"/>
        <w:rPr>
          <w:rFonts w:ascii="宋体" w:hAnsi="宋体" w:eastAsia="宋体" w:cs="宋体"/>
          <w:sz w:val="21"/>
          <w:szCs w:val="21"/>
        </w:rPr>
      </w:pPr>
      <w:bookmarkStart w:id="335" w:name="_Toc29338"/>
      <w:bookmarkStart w:id="336" w:name="_Toc8317"/>
      <w:bookmarkStart w:id="337" w:name="_Toc80884483"/>
      <w:bookmarkStart w:id="338" w:name="_Toc15905"/>
      <w:bookmarkStart w:id="339" w:name="_Toc69937185"/>
      <w:bookmarkStart w:id="340" w:name="_Toc74125911"/>
      <w:r>
        <w:rPr>
          <w:rFonts w:hint="eastAsia" w:ascii="宋体" w:hAnsi="宋体" w:eastAsia="宋体" w:cs="宋体"/>
          <w:sz w:val="21"/>
          <w:szCs w:val="21"/>
        </w:rPr>
        <w:t xml:space="preserve">5.1 </w:t>
      </w:r>
      <w:r>
        <w:rPr>
          <w:rFonts w:hint="eastAsia" w:ascii="宋体" w:hAnsi="宋体" w:eastAsia="宋体" w:cs="宋体"/>
          <w:sz w:val="21"/>
          <w:szCs w:val="21"/>
          <w:lang w:eastAsia="zh-CN"/>
        </w:rPr>
        <w:t>谈判</w:t>
      </w:r>
      <w:r>
        <w:rPr>
          <w:rFonts w:hint="eastAsia" w:ascii="宋体" w:hAnsi="宋体" w:eastAsia="宋体" w:cs="宋体"/>
          <w:sz w:val="21"/>
          <w:szCs w:val="21"/>
        </w:rPr>
        <w:t>时间和地点</w:t>
      </w:r>
      <w:bookmarkEnd w:id="335"/>
      <w:bookmarkEnd w:id="336"/>
      <w:bookmarkEnd w:id="337"/>
      <w:bookmarkEnd w:id="338"/>
      <w:bookmarkEnd w:id="339"/>
      <w:bookmarkEnd w:id="340"/>
    </w:p>
    <w:p w14:paraId="0870D48E">
      <w:pPr>
        <w:spacing w:line="360" w:lineRule="exact"/>
        <w:ind w:firstLine="420" w:firstLineChars="200"/>
        <w:jc w:val="left"/>
        <w:rPr>
          <w:rFonts w:hint="default" w:ascii="宋体" w:hAnsi="宋体" w:eastAsia="宋体" w:cs="宋体"/>
          <w:szCs w:val="21"/>
          <w:lang w:val="en-US" w:eastAsia="zh-CN"/>
        </w:rPr>
      </w:pPr>
      <w:r>
        <w:rPr>
          <w:rFonts w:hint="eastAsia" w:ascii="宋体" w:hAnsi="宋体" w:eastAsia="宋体" w:cs="宋体"/>
          <w:szCs w:val="21"/>
        </w:rPr>
        <w:t>采购人在本章第4.2.1项规定的</w:t>
      </w:r>
      <w:r>
        <w:rPr>
          <w:rFonts w:hint="eastAsia" w:ascii="宋体" w:hAnsi="宋体" w:eastAsia="宋体" w:cs="宋体"/>
          <w:szCs w:val="21"/>
          <w:lang w:eastAsia="zh-CN"/>
        </w:rPr>
        <w:t>谈判</w:t>
      </w:r>
      <w:r>
        <w:rPr>
          <w:rFonts w:hint="eastAsia" w:ascii="宋体" w:hAnsi="宋体" w:eastAsia="宋体" w:cs="宋体"/>
          <w:szCs w:val="21"/>
        </w:rPr>
        <w:t>截止时间（开标时间）和供应商须知前附表规定的地点公开</w:t>
      </w:r>
      <w:r>
        <w:rPr>
          <w:rFonts w:hint="eastAsia" w:ascii="宋体" w:hAnsi="宋体" w:eastAsia="宋体" w:cs="宋体"/>
          <w:szCs w:val="21"/>
          <w:lang w:eastAsia="zh-CN"/>
        </w:rPr>
        <w:t>谈判</w:t>
      </w:r>
      <w:r>
        <w:rPr>
          <w:rFonts w:hint="eastAsia" w:ascii="宋体" w:hAnsi="宋体" w:cs="宋体"/>
          <w:szCs w:val="21"/>
          <w:lang w:eastAsia="zh-CN"/>
        </w:rPr>
        <w:t>。</w:t>
      </w:r>
    </w:p>
    <w:p w14:paraId="1E989A15">
      <w:pPr>
        <w:pStyle w:val="5"/>
        <w:spacing w:before="0" w:after="0" w:line="360" w:lineRule="exact"/>
        <w:ind w:firstLine="420" w:firstLineChars="200"/>
        <w:jc w:val="left"/>
        <w:rPr>
          <w:rFonts w:ascii="宋体" w:hAnsi="宋体" w:eastAsia="宋体" w:cs="宋体"/>
          <w:color w:val="0000FF"/>
          <w:sz w:val="21"/>
          <w:szCs w:val="21"/>
        </w:rPr>
      </w:pPr>
      <w:bookmarkStart w:id="341" w:name="_Toc889"/>
      <w:bookmarkStart w:id="342" w:name="_Toc80884484"/>
      <w:bookmarkStart w:id="343" w:name="_Toc74125912"/>
      <w:bookmarkStart w:id="344" w:name="_Toc18794"/>
      <w:bookmarkStart w:id="345" w:name="_Toc69937186"/>
      <w:bookmarkStart w:id="346" w:name="_Toc5330"/>
      <w:bookmarkStart w:id="347" w:name="_Toc69937187"/>
      <w:bookmarkStart w:id="348" w:name="_Toc12886"/>
      <w:bookmarkStart w:id="349" w:name="_Toc74125913"/>
      <w:bookmarkStart w:id="350" w:name="_Toc31427"/>
      <w:bookmarkStart w:id="351" w:name="_Toc80884485"/>
      <w:bookmarkStart w:id="352" w:name="_Toc31145"/>
      <w:r>
        <w:rPr>
          <w:rFonts w:hint="eastAsia" w:ascii="宋体" w:hAnsi="宋体" w:eastAsia="宋体" w:cs="宋体"/>
          <w:color w:val="0000FF"/>
          <w:sz w:val="21"/>
          <w:szCs w:val="21"/>
        </w:rPr>
        <w:t xml:space="preserve">5.2 </w:t>
      </w:r>
      <w:bookmarkEnd w:id="341"/>
      <w:r>
        <w:rPr>
          <w:rFonts w:hint="eastAsia" w:ascii="宋体" w:hAnsi="宋体" w:eastAsia="宋体" w:cs="宋体"/>
          <w:color w:val="0000FF"/>
          <w:sz w:val="21"/>
          <w:szCs w:val="21"/>
          <w:lang w:eastAsia="zh-CN"/>
        </w:rPr>
        <w:t>谈判</w:t>
      </w:r>
      <w:r>
        <w:rPr>
          <w:rFonts w:hint="eastAsia" w:ascii="宋体" w:hAnsi="宋体" w:eastAsia="宋体" w:cs="宋体"/>
          <w:color w:val="0000FF"/>
          <w:sz w:val="21"/>
          <w:szCs w:val="21"/>
        </w:rPr>
        <w:t>程序</w:t>
      </w:r>
      <w:bookmarkEnd w:id="342"/>
      <w:bookmarkEnd w:id="343"/>
      <w:bookmarkEnd w:id="344"/>
      <w:bookmarkEnd w:id="345"/>
      <w:bookmarkEnd w:id="346"/>
    </w:p>
    <w:p w14:paraId="6F56D823">
      <w:pPr>
        <w:spacing w:line="360" w:lineRule="exact"/>
        <w:ind w:firstLine="420" w:firstLineChars="200"/>
        <w:rPr>
          <w:rFonts w:ascii="宋体" w:hAnsi="宋体"/>
          <w:color w:val="0000FF"/>
          <w:szCs w:val="21"/>
        </w:rPr>
      </w:pPr>
      <w:r>
        <w:rPr>
          <w:rFonts w:hint="eastAsia" w:ascii="宋体" w:hAnsi="宋体"/>
          <w:color w:val="0000FF"/>
          <w:szCs w:val="21"/>
        </w:rPr>
        <w:t>5.2.1 主持人按下列程序进行</w:t>
      </w:r>
      <w:r>
        <w:rPr>
          <w:rFonts w:hint="eastAsia" w:ascii="宋体" w:hAnsi="宋体"/>
          <w:color w:val="0000FF"/>
          <w:szCs w:val="21"/>
          <w:lang w:eastAsia="zh-CN"/>
        </w:rPr>
        <w:t>谈判</w:t>
      </w:r>
      <w:r>
        <w:rPr>
          <w:rFonts w:hint="eastAsia" w:ascii="宋体" w:hAnsi="宋体"/>
          <w:color w:val="0000FF"/>
          <w:szCs w:val="21"/>
        </w:rPr>
        <w:t>：</w:t>
      </w:r>
    </w:p>
    <w:p w14:paraId="306E0968">
      <w:pPr>
        <w:spacing w:line="360" w:lineRule="exact"/>
        <w:ind w:firstLine="420" w:firstLineChars="200"/>
        <w:rPr>
          <w:rFonts w:hint="eastAsia" w:ascii="宋体" w:hAnsi="宋体"/>
          <w:color w:val="0000FF"/>
          <w:szCs w:val="21"/>
        </w:rPr>
      </w:pPr>
      <w:r>
        <w:rPr>
          <w:rFonts w:hint="eastAsia" w:ascii="宋体" w:hAnsi="宋体"/>
          <w:color w:val="0000FF"/>
          <w:szCs w:val="21"/>
        </w:rPr>
        <w:t>1、宣布</w:t>
      </w:r>
      <w:r>
        <w:rPr>
          <w:rFonts w:hint="eastAsia" w:ascii="宋体" w:hAnsi="宋体"/>
          <w:color w:val="0000FF"/>
          <w:szCs w:val="21"/>
          <w:lang w:eastAsia="zh-CN"/>
        </w:rPr>
        <w:t>谈判</w:t>
      </w:r>
      <w:r>
        <w:rPr>
          <w:rFonts w:hint="eastAsia" w:ascii="宋体" w:hAnsi="宋体"/>
          <w:color w:val="0000FF"/>
          <w:szCs w:val="21"/>
        </w:rPr>
        <w:t>会议纪律；</w:t>
      </w:r>
    </w:p>
    <w:p w14:paraId="3481C1E9">
      <w:pPr>
        <w:spacing w:line="360" w:lineRule="exact"/>
        <w:ind w:firstLine="420" w:firstLineChars="200"/>
        <w:rPr>
          <w:rFonts w:hint="eastAsia" w:ascii="宋体" w:hAnsi="宋体"/>
          <w:color w:val="0000FF"/>
          <w:szCs w:val="21"/>
        </w:rPr>
      </w:pPr>
      <w:r>
        <w:rPr>
          <w:rFonts w:hint="eastAsia" w:ascii="宋体" w:hAnsi="宋体"/>
          <w:color w:val="0000FF"/>
          <w:szCs w:val="21"/>
        </w:rPr>
        <w:t>2、宣布采购人、唱标人、记录人、监督人等有关人员姓名；</w:t>
      </w:r>
    </w:p>
    <w:p w14:paraId="7D414AF3">
      <w:pPr>
        <w:spacing w:line="360" w:lineRule="exact"/>
        <w:ind w:firstLine="420" w:firstLineChars="200"/>
        <w:rPr>
          <w:rFonts w:hint="eastAsia" w:ascii="宋体" w:hAnsi="宋体"/>
          <w:color w:val="0000FF"/>
          <w:szCs w:val="21"/>
        </w:rPr>
      </w:pPr>
      <w:r>
        <w:rPr>
          <w:rFonts w:hint="eastAsia" w:ascii="宋体" w:hAnsi="宋体"/>
          <w:color w:val="0000FF"/>
          <w:szCs w:val="21"/>
        </w:rPr>
        <w:t>3、公布在</w:t>
      </w:r>
      <w:r>
        <w:rPr>
          <w:rFonts w:hint="eastAsia" w:ascii="宋体" w:hAnsi="宋体"/>
          <w:color w:val="0000FF"/>
          <w:szCs w:val="21"/>
          <w:lang w:eastAsia="zh-CN"/>
        </w:rPr>
        <w:t>谈判</w:t>
      </w:r>
      <w:r>
        <w:rPr>
          <w:rFonts w:hint="eastAsia" w:ascii="宋体" w:hAnsi="宋体"/>
          <w:color w:val="0000FF"/>
          <w:szCs w:val="21"/>
        </w:rPr>
        <w:t>截止时间前</w:t>
      </w:r>
      <w:r>
        <w:rPr>
          <w:rFonts w:hint="eastAsia" w:ascii="宋体" w:hAnsi="宋体"/>
          <w:color w:val="0000FF"/>
          <w:szCs w:val="21"/>
          <w:lang w:val="en-US" w:eastAsia="zh-CN"/>
        </w:rPr>
        <w:t>成功</w:t>
      </w:r>
      <w:r>
        <w:rPr>
          <w:rFonts w:hint="eastAsia" w:ascii="宋体" w:hAnsi="宋体"/>
          <w:color w:val="0000FF"/>
          <w:szCs w:val="21"/>
        </w:rPr>
        <w:t>递交</w:t>
      </w:r>
      <w:r>
        <w:rPr>
          <w:rFonts w:hint="eastAsia" w:ascii="宋体" w:hAnsi="宋体"/>
          <w:color w:val="0000FF"/>
          <w:szCs w:val="21"/>
          <w:lang w:eastAsia="zh-CN"/>
        </w:rPr>
        <w:t>响应文件</w:t>
      </w:r>
      <w:r>
        <w:rPr>
          <w:rFonts w:hint="eastAsia" w:ascii="宋体" w:hAnsi="宋体"/>
          <w:color w:val="0000FF"/>
          <w:szCs w:val="21"/>
        </w:rPr>
        <w:t>的供应商名称；</w:t>
      </w:r>
    </w:p>
    <w:p w14:paraId="4A25C8A7">
      <w:pPr>
        <w:spacing w:line="360" w:lineRule="exact"/>
        <w:ind w:firstLine="420" w:firstLineChars="200"/>
        <w:rPr>
          <w:rFonts w:hint="eastAsia" w:ascii="宋体" w:hAnsi="宋体"/>
          <w:color w:val="0000FF"/>
          <w:szCs w:val="21"/>
        </w:rPr>
      </w:pPr>
      <w:r>
        <w:rPr>
          <w:rFonts w:hint="eastAsia" w:ascii="宋体" w:hAnsi="宋体"/>
          <w:color w:val="0000FF"/>
          <w:szCs w:val="21"/>
          <w:lang w:val="en-US" w:eastAsia="zh-CN"/>
        </w:rPr>
        <w:t>4</w:t>
      </w:r>
      <w:r>
        <w:rPr>
          <w:rFonts w:hint="eastAsia" w:ascii="宋体" w:hAnsi="宋体"/>
          <w:color w:val="0000FF"/>
          <w:szCs w:val="21"/>
        </w:rPr>
        <w:t>、密封情况检查：</w:t>
      </w:r>
      <w:r>
        <w:rPr>
          <w:rFonts w:hint="eastAsia" w:ascii="宋体" w:hAnsi="宋体"/>
          <w:color w:val="0000FF"/>
          <w:szCs w:val="21"/>
          <w:lang w:val="en-US" w:eastAsia="zh-CN"/>
        </w:rPr>
        <w:t>采购人监督人员</w:t>
      </w:r>
      <w:r>
        <w:rPr>
          <w:rFonts w:hint="eastAsia" w:ascii="宋体" w:hAnsi="宋体"/>
          <w:color w:val="0000FF"/>
          <w:szCs w:val="21"/>
        </w:rPr>
        <w:t>检查</w:t>
      </w:r>
      <w:r>
        <w:rPr>
          <w:rFonts w:hint="eastAsia" w:ascii="宋体" w:hAnsi="宋体"/>
          <w:color w:val="0000FF"/>
          <w:szCs w:val="21"/>
          <w:lang w:eastAsia="zh-CN"/>
        </w:rPr>
        <w:t>响应文件</w:t>
      </w:r>
      <w:r>
        <w:rPr>
          <w:rFonts w:hint="eastAsia" w:ascii="宋体" w:hAnsi="宋体"/>
          <w:color w:val="0000FF"/>
          <w:szCs w:val="21"/>
        </w:rPr>
        <w:t>的密封情况并确认。</w:t>
      </w:r>
    </w:p>
    <w:p w14:paraId="6FAE1BBA">
      <w:pPr>
        <w:spacing w:line="360" w:lineRule="exact"/>
        <w:ind w:firstLine="420" w:firstLineChars="200"/>
        <w:rPr>
          <w:rFonts w:hint="eastAsia" w:ascii="宋体" w:hAnsi="宋体"/>
          <w:color w:val="0000FF"/>
          <w:szCs w:val="21"/>
        </w:rPr>
      </w:pPr>
      <w:r>
        <w:rPr>
          <w:rFonts w:hint="eastAsia" w:ascii="宋体" w:hAnsi="宋体"/>
          <w:color w:val="0000FF"/>
          <w:szCs w:val="21"/>
          <w:lang w:val="en-US" w:eastAsia="zh-CN"/>
        </w:rPr>
        <w:t>5</w:t>
      </w:r>
      <w:r>
        <w:rPr>
          <w:rFonts w:hint="eastAsia" w:ascii="宋体" w:hAnsi="宋体"/>
          <w:color w:val="0000FF"/>
          <w:szCs w:val="21"/>
        </w:rPr>
        <w:t>、开启</w:t>
      </w:r>
      <w:r>
        <w:rPr>
          <w:rFonts w:hint="eastAsia" w:ascii="宋体" w:hAnsi="宋体"/>
          <w:color w:val="0000FF"/>
          <w:szCs w:val="21"/>
          <w:lang w:eastAsia="zh-CN"/>
        </w:rPr>
        <w:t>响应文件</w:t>
      </w:r>
      <w:r>
        <w:rPr>
          <w:rFonts w:hint="eastAsia" w:ascii="宋体" w:hAnsi="宋体"/>
          <w:color w:val="0000FF"/>
          <w:szCs w:val="21"/>
        </w:rPr>
        <w:t>顺序：随机开启；</w:t>
      </w:r>
    </w:p>
    <w:p w14:paraId="5BA8357E">
      <w:pPr>
        <w:spacing w:line="360" w:lineRule="exact"/>
        <w:ind w:firstLine="420" w:firstLineChars="200"/>
        <w:rPr>
          <w:rFonts w:hint="eastAsia" w:ascii="宋体" w:hAnsi="宋体"/>
          <w:color w:val="0000FF"/>
          <w:szCs w:val="21"/>
        </w:rPr>
      </w:pPr>
      <w:r>
        <w:rPr>
          <w:rFonts w:hint="eastAsia" w:ascii="宋体" w:hAnsi="宋体"/>
          <w:color w:val="0000FF"/>
          <w:szCs w:val="21"/>
          <w:lang w:val="en-US" w:eastAsia="zh-CN"/>
        </w:rPr>
        <w:t>6</w:t>
      </w:r>
      <w:r>
        <w:rPr>
          <w:rFonts w:hint="eastAsia" w:ascii="宋体" w:hAnsi="宋体"/>
          <w:color w:val="0000FF"/>
          <w:szCs w:val="21"/>
        </w:rPr>
        <w:t>、公布供应商名称、项目名称、</w:t>
      </w:r>
      <w:r>
        <w:rPr>
          <w:rFonts w:hint="eastAsia" w:ascii="宋体" w:hAnsi="宋体"/>
          <w:color w:val="0000FF"/>
          <w:szCs w:val="21"/>
          <w:lang w:eastAsia="zh-CN"/>
        </w:rPr>
        <w:t>谈判</w:t>
      </w:r>
      <w:r>
        <w:rPr>
          <w:rFonts w:hint="eastAsia" w:ascii="宋体" w:hAnsi="宋体"/>
          <w:color w:val="0000FF"/>
          <w:szCs w:val="21"/>
        </w:rPr>
        <w:t>报价、质量目标、工期及其他内容；</w:t>
      </w:r>
    </w:p>
    <w:p w14:paraId="21AF76EB">
      <w:pPr>
        <w:spacing w:line="360" w:lineRule="exact"/>
        <w:ind w:firstLine="420" w:firstLineChars="200"/>
        <w:rPr>
          <w:rFonts w:hint="eastAsia" w:ascii="宋体" w:hAnsi="宋体"/>
          <w:color w:val="0000FF"/>
          <w:szCs w:val="21"/>
        </w:rPr>
      </w:pPr>
      <w:r>
        <w:rPr>
          <w:rFonts w:hint="eastAsia" w:ascii="宋体" w:hAnsi="宋体"/>
          <w:color w:val="0000FF"/>
          <w:szCs w:val="21"/>
          <w:lang w:val="en-US" w:eastAsia="zh-CN"/>
        </w:rPr>
        <w:t>7</w:t>
      </w:r>
      <w:r>
        <w:rPr>
          <w:rFonts w:hint="eastAsia" w:ascii="宋体" w:hAnsi="宋体"/>
          <w:color w:val="0000FF"/>
          <w:szCs w:val="21"/>
        </w:rPr>
        <w:t>、采购人代表、监督人、记录人等有关人员在</w:t>
      </w:r>
      <w:r>
        <w:rPr>
          <w:rFonts w:hint="eastAsia" w:ascii="宋体" w:hAnsi="宋体"/>
          <w:color w:val="0000FF"/>
          <w:szCs w:val="21"/>
          <w:lang w:eastAsia="zh-CN"/>
        </w:rPr>
        <w:t>谈判</w:t>
      </w:r>
      <w:r>
        <w:rPr>
          <w:rFonts w:hint="eastAsia" w:ascii="宋体" w:hAnsi="宋体"/>
          <w:color w:val="0000FF"/>
          <w:szCs w:val="21"/>
          <w:lang w:val="en-US" w:eastAsia="zh-CN"/>
        </w:rPr>
        <w:t>一次报价表</w:t>
      </w:r>
      <w:r>
        <w:rPr>
          <w:rFonts w:hint="eastAsia" w:ascii="宋体" w:hAnsi="宋体"/>
          <w:color w:val="0000FF"/>
          <w:szCs w:val="21"/>
        </w:rPr>
        <w:t>上签字确认；</w:t>
      </w:r>
    </w:p>
    <w:p w14:paraId="2B3C9827">
      <w:pPr>
        <w:spacing w:line="360" w:lineRule="exact"/>
        <w:ind w:firstLine="420" w:firstLineChars="200"/>
        <w:rPr>
          <w:rFonts w:hint="eastAsia" w:ascii="宋体" w:hAnsi="宋体" w:eastAsia="宋体" w:cs="Times New Roman"/>
          <w:color w:val="0000FF"/>
          <w:szCs w:val="21"/>
          <w:lang w:val="en-US" w:eastAsia="zh-CN"/>
        </w:rPr>
      </w:pPr>
      <w:r>
        <w:rPr>
          <w:rFonts w:hint="eastAsia" w:ascii="宋体" w:hAnsi="宋体" w:eastAsia="宋体" w:cs="Times New Roman"/>
          <w:color w:val="0000FF"/>
          <w:szCs w:val="21"/>
          <w:lang w:val="en-US" w:eastAsia="zh-CN"/>
        </w:rPr>
        <w:t>8、经初步评审合格报价由低到高排序，排序前三名供应商现场填写最终报价，最终报价不得高于初次报价；</w:t>
      </w:r>
    </w:p>
    <w:p w14:paraId="5DF0A718">
      <w:pPr>
        <w:spacing w:line="360" w:lineRule="exact"/>
        <w:ind w:firstLine="420" w:firstLineChars="200"/>
        <w:rPr>
          <w:rFonts w:hint="default" w:ascii="宋体" w:hAnsi="宋体" w:eastAsia="宋体" w:cs="Times New Roman"/>
          <w:color w:val="0000FF"/>
          <w:szCs w:val="21"/>
          <w:lang w:val="en-US" w:eastAsia="zh-CN"/>
        </w:rPr>
      </w:pPr>
      <w:r>
        <w:rPr>
          <w:rFonts w:hint="eastAsia" w:ascii="宋体" w:hAnsi="宋体" w:eastAsia="宋体" w:cs="Times New Roman"/>
          <w:color w:val="0000FF"/>
          <w:szCs w:val="21"/>
          <w:lang w:val="en-US" w:eastAsia="zh-CN"/>
        </w:rPr>
        <w:t>9、评审小组对前三名供应商进行详细评审打分，按得分由高到低排序推荐成交候选人。</w:t>
      </w:r>
    </w:p>
    <w:p w14:paraId="6AE9A9CA">
      <w:pPr>
        <w:pStyle w:val="5"/>
        <w:spacing w:before="0" w:after="0" w:line="360" w:lineRule="exact"/>
        <w:ind w:firstLine="630" w:firstLineChars="300"/>
        <w:jc w:val="left"/>
        <w:rPr>
          <w:rFonts w:ascii="宋体" w:hAnsi="宋体" w:eastAsia="宋体" w:cs="宋体"/>
          <w:sz w:val="21"/>
          <w:szCs w:val="21"/>
        </w:rPr>
      </w:pPr>
      <w:r>
        <w:rPr>
          <w:rFonts w:hint="eastAsia" w:ascii="宋体" w:hAnsi="宋体" w:eastAsia="宋体" w:cs="宋体"/>
          <w:sz w:val="21"/>
          <w:szCs w:val="21"/>
        </w:rPr>
        <w:t xml:space="preserve">5.3 </w:t>
      </w:r>
      <w:r>
        <w:rPr>
          <w:rFonts w:hint="eastAsia" w:ascii="宋体" w:hAnsi="宋体" w:eastAsia="宋体" w:cs="宋体"/>
          <w:sz w:val="21"/>
          <w:szCs w:val="21"/>
          <w:lang w:eastAsia="zh-CN"/>
        </w:rPr>
        <w:t>谈判</w:t>
      </w:r>
      <w:r>
        <w:rPr>
          <w:rFonts w:hint="eastAsia" w:ascii="宋体" w:hAnsi="宋体" w:eastAsia="宋体" w:cs="宋体"/>
          <w:sz w:val="21"/>
          <w:szCs w:val="21"/>
        </w:rPr>
        <w:t>异议</w:t>
      </w:r>
      <w:bookmarkEnd w:id="347"/>
      <w:bookmarkEnd w:id="348"/>
      <w:bookmarkEnd w:id="349"/>
      <w:bookmarkEnd w:id="350"/>
      <w:bookmarkEnd w:id="351"/>
      <w:bookmarkEnd w:id="352"/>
    </w:p>
    <w:p w14:paraId="7653C297">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供应商对</w:t>
      </w:r>
      <w:r>
        <w:rPr>
          <w:rFonts w:hint="eastAsia" w:ascii="宋体" w:hAnsi="宋体" w:eastAsia="宋体" w:cs="宋体"/>
          <w:szCs w:val="21"/>
          <w:lang w:eastAsia="zh-CN"/>
        </w:rPr>
        <w:t>谈判</w:t>
      </w:r>
      <w:r>
        <w:rPr>
          <w:rFonts w:hint="eastAsia" w:ascii="宋体" w:hAnsi="宋体" w:eastAsia="宋体" w:cs="宋体"/>
          <w:szCs w:val="21"/>
        </w:rPr>
        <w:t>有异议的，应当在</w:t>
      </w:r>
      <w:r>
        <w:rPr>
          <w:rFonts w:hint="eastAsia" w:ascii="宋体" w:hAnsi="宋体" w:eastAsia="宋体" w:cs="宋体"/>
          <w:szCs w:val="21"/>
          <w:lang w:eastAsia="zh-CN"/>
        </w:rPr>
        <w:t>谈判</w:t>
      </w:r>
      <w:r>
        <w:rPr>
          <w:rFonts w:hint="eastAsia" w:ascii="宋体" w:hAnsi="宋体" w:eastAsia="宋体" w:cs="宋体"/>
          <w:szCs w:val="21"/>
        </w:rPr>
        <w:t>现场提出，采购人当场作出答复，并制作记录。</w:t>
      </w:r>
    </w:p>
    <w:p w14:paraId="1AF7B67A">
      <w:pPr>
        <w:pStyle w:val="4"/>
        <w:spacing w:before="0" w:after="0" w:line="360" w:lineRule="exact"/>
        <w:ind w:firstLine="422" w:firstLineChars="200"/>
        <w:jc w:val="left"/>
        <w:rPr>
          <w:rFonts w:ascii="宋体" w:hAnsi="宋体" w:eastAsia="宋体" w:cs="宋体"/>
          <w:sz w:val="21"/>
          <w:szCs w:val="21"/>
        </w:rPr>
      </w:pPr>
      <w:bookmarkStart w:id="353" w:name="_Toc13344"/>
      <w:bookmarkStart w:id="354" w:name="_Toc74125914"/>
      <w:bookmarkStart w:id="355" w:name="_Toc498"/>
      <w:bookmarkStart w:id="356" w:name="_Toc69937188"/>
      <w:bookmarkStart w:id="357" w:name="_Toc80884486"/>
      <w:bookmarkStart w:id="358" w:name="_Toc16647"/>
      <w:r>
        <w:rPr>
          <w:rFonts w:hint="eastAsia" w:ascii="宋体" w:hAnsi="宋体" w:eastAsia="宋体" w:cs="宋体"/>
          <w:sz w:val="21"/>
          <w:szCs w:val="21"/>
        </w:rPr>
        <w:t>6. 评</w:t>
      </w:r>
      <w:bookmarkEnd w:id="353"/>
      <w:r>
        <w:rPr>
          <w:rFonts w:hint="eastAsia" w:ascii="宋体" w:hAnsi="宋体" w:eastAsia="宋体" w:cs="宋体"/>
          <w:sz w:val="21"/>
          <w:szCs w:val="21"/>
        </w:rPr>
        <w:t>审</w:t>
      </w:r>
      <w:bookmarkEnd w:id="354"/>
      <w:bookmarkEnd w:id="355"/>
      <w:bookmarkEnd w:id="356"/>
      <w:bookmarkEnd w:id="357"/>
      <w:bookmarkEnd w:id="358"/>
    </w:p>
    <w:p w14:paraId="4E66DAFA">
      <w:pPr>
        <w:pStyle w:val="5"/>
        <w:spacing w:before="0" w:after="0" w:line="360" w:lineRule="exact"/>
        <w:ind w:firstLine="420" w:firstLineChars="200"/>
        <w:jc w:val="left"/>
        <w:rPr>
          <w:rFonts w:ascii="宋体" w:hAnsi="宋体" w:eastAsia="宋体" w:cs="宋体"/>
          <w:sz w:val="21"/>
          <w:szCs w:val="21"/>
        </w:rPr>
      </w:pPr>
      <w:bookmarkStart w:id="359" w:name="_Toc7829"/>
      <w:bookmarkStart w:id="360" w:name="_Toc11328"/>
      <w:bookmarkStart w:id="361" w:name="_Toc80884487"/>
      <w:bookmarkStart w:id="362" w:name="_Toc5011"/>
      <w:bookmarkStart w:id="363" w:name="_Toc69937189"/>
      <w:bookmarkStart w:id="364" w:name="_Toc74125915"/>
      <w:r>
        <w:rPr>
          <w:rFonts w:hint="eastAsia" w:ascii="宋体" w:hAnsi="宋体" w:eastAsia="宋体" w:cs="宋体"/>
          <w:sz w:val="21"/>
          <w:szCs w:val="21"/>
        </w:rPr>
        <w:t xml:space="preserve">6.1 </w:t>
      </w:r>
      <w:bookmarkEnd w:id="359"/>
      <w:r>
        <w:rPr>
          <w:rFonts w:hint="eastAsia" w:ascii="宋体" w:hAnsi="宋体" w:eastAsia="宋体" w:cs="宋体"/>
          <w:sz w:val="21"/>
          <w:szCs w:val="21"/>
        </w:rPr>
        <w:t>评审小组</w:t>
      </w:r>
      <w:bookmarkEnd w:id="360"/>
      <w:bookmarkEnd w:id="361"/>
      <w:bookmarkEnd w:id="362"/>
      <w:bookmarkEnd w:id="363"/>
      <w:bookmarkEnd w:id="364"/>
    </w:p>
    <w:p w14:paraId="71A8D6FA">
      <w:pPr>
        <w:spacing w:line="360" w:lineRule="exact"/>
        <w:ind w:firstLine="420" w:firstLineChars="200"/>
        <w:rPr>
          <w:rFonts w:ascii="宋体" w:hAnsi="宋体"/>
          <w:szCs w:val="21"/>
        </w:rPr>
      </w:pPr>
      <w:r>
        <w:rPr>
          <w:rFonts w:hint="eastAsia" w:ascii="宋体" w:hAnsi="宋体"/>
          <w:szCs w:val="21"/>
        </w:rPr>
        <w:t>6.1.1评审由采购人依法组建的评审小组负责。评审小组由采购人或其委托的采购代理机构熟悉相关业务的代表，以及有关技术、经济等方面的专家组成。评审小组成员人数以及技术、经济等方面专家的确定方式见供应商须知前附表。</w:t>
      </w:r>
    </w:p>
    <w:p w14:paraId="4398991F">
      <w:pPr>
        <w:spacing w:line="360" w:lineRule="exact"/>
        <w:ind w:firstLine="420" w:firstLineChars="200"/>
        <w:rPr>
          <w:rFonts w:ascii="宋体" w:hAnsi="宋体"/>
          <w:szCs w:val="21"/>
        </w:rPr>
      </w:pPr>
      <w:r>
        <w:rPr>
          <w:rFonts w:hint="eastAsia" w:ascii="宋体" w:hAnsi="宋体"/>
          <w:szCs w:val="21"/>
        </w:rPr>
        <w:t>6.1.2评审小组成员有下列情形之一的，应当回避：</w:t>
      </w:r>
    </w:p>
    <w:p w14:paraId="0537B3A9">
      <w:pPr>
        <w:spacing w:line="360" w:lineRule="exact"/>
        <w:ind w:firstLine="420" w:firstLineChars="200"/>
        <w:rPr>
          <w:rFonts w:ascii="宋体" w:hAnsi="宋体"/>
          <w:szCs w:val="21"/>
        </w:rPr>
      </w:pPr>
      <w:r>
        <w:rPr>
          <w:rFonts w:hint="eastAsia" w:ascii="宋体" w:hAnsi="宋体"/>
          <w:szCs w:val="21"/>
        </w:rPr>
        <w:t>(1)采购人或供应商的主要负责人的近亲属；</w:t>
      </w:r>
    </w:p>
    <w:p w14:paraId="301ECCBD">
      <w:pPr>
        <w:spacing w:line="360" w:lineRule="exact"/>
        <w:ind w:firstLine="420" w:firstLineChars="200"/>
        <w:rPr>
          <w:rFonts w:ascii="宋体" w:hAnsi="宋体"/>
          <w:szCs w:val="21"/>
        </w:rPr>
      </w:pPr>
      <w:r>
        <w:rPr>
          <w:rFonts w:hint="eastAsia" w:ascii="宋体" w:hAnsi="宋体"/>
          <w:szCs w:val="21"/>
        </w:rPr>
        <w:t>(2)项目主管部门或者行政监督部门的人员；</w:t>
      </w:r>
    </w:p>
    <w:p w14:paraId="531F41CE">
      <w:pPr>
        <w:spacing w:line="360" w:lineRule="exact"/>
        <w:ind w:firstLine="420" w:firstLineChars="200"/>
        <w:rPr>
          <w:rFonts w:ascii="宋体" w:hAnsi="宋体"/>
          <w:szCs w:val="21"/>
        </w:rPr>
      </w:pPr>
      <w:r>
        <w:rPr>
          <w:rFonts w:hint="eastAsia" w:ascii="宋体" w:hAnsi="宋体"/>
          <w:szCs w:val="21"/>
        </w:rPr>
        <w:t>(3)与供应商有经济利益关系，可能影响对</w:t>
      </w:r>
      <w:r>
        <w:rPr>
          <w:rFonts w:hint="eastAsia" w:ascii="宋体" w:hAnsi="宋体"/>
          <w:szCs w:val="21"/>
          <w:lang w:eastAsia="zh-CN"/>
        </w:rPr>
        <w:t>谈判</w:t>
      </w:r>
      <w:r>
        <w:rPr>
          <w:rFonts w:hint="eastAsia" w:ascii="宋体" w:hAnsi="宋体"/>
          <w:szCs w:val="21"/>
        </w:rPr>
        <w:t>公正评审的；</w:t>
      </w:r>
    </w:p>
    <w:p w14:paraId="695D208F">
      <w:pPr>
        <w:spacing w:line="360" w:lineRule="exact"/>
        <w:ind w:firstLine="420" w:firstLineChars="200"/>
        <w:rPr>
          <w:rFonts w:ascii="宋体" w:hAnsi="宋体"/>
          <w:szCs w:val="21"/>
        </w:rPr>
      </w:pPr>
      <w:r>
        <w:rPr>
          <w:rFonts w:hint="eastAsia" w:ascii="宋体" w:hAnsi="宋体"/>
          <w:szCs w:val="21"/>
        </w:rPr>
        <w:t>(4)曾因在招标、评审以及其他与招标有关活动中从事违法行为而受过行政处罚或刑事处罚的。</w:t>
      </w:r>
    </w:p>
    <w:p w14:paraId="3C812796">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6.1.3 评审过程中，评审小组成员有回避事由、擅离职守或者因健康等原因不能继续评审的，采购人有权更换。被更换的评审小组成员作出的评审结论无效，由更换后的评审小组成员重新进行评审。</w:t>
      </w:r>
    </w:p>
    <w:p w14:paraId="336D48FC">
      <w:pPr>
        <w:pStyle w:val="5"/>
        <w:spacing w:before="0" w:after="0" w:line="360" w:lineRule="exact"/>
        <w:ind w:firstLine="420" w:firstLineChars="200"/>
        <w:jc w:val="left"/>
        <w:rPr>
          <w:rFonts w:ascii="宋体" w:hAnsi="宋体" w:eastAsia="宋体" w:cs="宋体"/>
          <w:sz w:val="21"/>
          <w:szCs w:val="21"/>
        </w:rPr>
      </w:pPr>
      <w:bookmarkStart w:id="365" w:name="_Toc69937190"/>
      <w:bookmarkStart w:id="366" w:name="_Toc32472"/>
      <w:bookmarkStart w:id="367" w:name="_Toc2487"/>
      <w:bookmarkStart w:id="368" w:name="_Toc12934"/>
      <w:bookmarkStart w:id="369" w:name="_Toc80884488"/>
      <w:bookmarkStart w:id="370" w:name="_Toc74125916"/>
      <w:r>
        <w:rPr>
          <w:rFonts w:hint="eastAsia" w:ascii="宋体" w:hAnsi="宋体" w:eastAsia="宋体" w:cs="宋体"/>
          <w:sz w:val="21"/>
          <w:szCs w:val="21"/>
        </w:rPr>
        <w:t>6.2 评审原则</w:t>
      </w:r>
      <w:bookmarkEnd w:id="365"/>
      <w:bookmarkEnd w:id="366"/>
      <w:bookmarkEnd w:id="367"/>
      <w:bookmarkEnd w:id="368"/>
      <w:bookmarkEnd w:id="369"/>
      <w:bookmarkEnd w:id="370"/>
    </w:p>
    <w:p w14:paraId="70001AB0">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评审活动遵循公平、公正、科学和择优的原</w:t>
      </w:r>
      <w:bookmarkStart w:id="371" w:name="_Toc369531545"/>
      <w:bookmarkStart w:id="372" w:name="_Toc247527582"/>
      <w:bookmarkStart w:id="373" w:name="_Toc384308239"/>
      <w:bookmarkStart w:id="374" w:name="_Toc300834978"/>
      <w:bookmarkStart w:id="375" w:name="_Toc144974525"/>
      <w:bookmarkStart w:id="376" w:name="_Toc361508614"/>
      <w:bookmarkStart w:id="377" w:name="_Toc152042333"/>
      <w:bookmarkStart w:id="378" w:name="_Toc247513981"/>
      <w:bookmarkStart w:id="379" w:name="_Toc352691501"/>
      <w:bookmarkStart w:id="380" w:name="_Toc18949"/>
      <w:bookmarkStart w:id="381" w:name="_Toc152045557"/>
      <w:r>
        <w:rPr>
          <w:rFonts w:hint="eastAsia" w:ascii="宋体" w:hAnsi="宋体" w:eastAsia="宋体" w:cs="宋体"/>
          <w:szCs w:val="21"/>
        </w:rPr>
        <w:t>则。</w:t>
      </w:r>
    </w:p>
    <w:p w14:paraId="115B899B">
      <w:pPr>
        <w:pStyle w:val="5"/>
        <w:spacing w:before="0" w:after="0" w:line="360" w:lineRule="exact"/>
        <w:ind w:firstLine="420" w:firstLineChars="200"/>
        <w:jc w:val="left"/>
        <w:rPr>
          <w:rFonts w:ascii="宋体" w:hAnsi="宋体" w:eastAsia="宋体" w:cs="宋体"/>
          <w:sz w:val="21"/>
          <w:szCs w:val="21"/>
        </w:rPr>
      </w:pPr>
      <w:bookmarkStart w:id="382" w:name="_Toc30613"/>
      <w:bookmarkStart w:id="383" w:name="_Toc74125917"/>
      <w:bookmarkStart w:id="384" w:name="_Toc80884489"/>
      <w:bookmarkStart w:id="385" w:name="_Toc18524"/>
      <w:bookmarkStart w:id="386" w:name="_Toc69937191"/>
      <w:bookmarkStart w:id="387" w:name="_Toc6813"/>
      <w:r>
        <w:rPr>
          <w:rFonts w:hint="eastAsia" w:ascii="宋体" w:hAnsi="宋体" w:eastAsia="宋体" w:cs="宋体"/>
          <w:sz w:val="21"/>
          <w:szCs w:val="21"/>
        </w:rPr>
        <w:t>6.3 评</w:t>
      </w:r>
      <w:bookmarkEnd w:id="382"/>
      <w:r>
        <w:rPr>
          <w:rFonts w:hint="eastAsia" w:ascii="宋体" w:hAnsi="宋体" w:eastAsia="宋体" w:cs="宋体"/>
          <w:sz w:val="21"/>
          <w:szCs w:val="21"/>
        </w:rPr>
        <w:t>审</w:t>
      </w:r>
      <w:bookmarkEnd w:id="383"/>
      <w:bookmarkEnd w:id="384"/>
      <w:bookmarkEnd w:id="385"/>
      <w:bookmarkEnd w:id="386"/>
      <w:bookmarkEnd w:id="387"/>
    </w:p>
    <w:p w14:paraId="4C01252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6</w:t>
      </w:r>
      <w:bookmarkEnd w:id="371"/>
      <w:bookmarkEnd w:id="372"/>
      <w:bookmarkEnd w:id="373"/>
      <w:bookmarkEnd w:id="374"/>
      <w:bookmarkEnd w:id="375"/>
      <w:bookmarkEnd w:id="376"/>
      <w:bookmarkEnd w:id="377"/>
      <w:bookmarkEnd w:id="378"/>
      <w:bookmarkEnd w:id="379"/>
      <w:bookmarkEnd w:id="380"/>
      <w:bookmarkEnd w:id="381"/>
      <w:r>
        <w:rPr>
          <w:rFonts w:hint="eastAsia" w:ascii="宋体" w:hAnsi="宋体" w:eastAsia="宋体" w:cs="宋体"/>
          <w:szCs w:val="21"/>
        </w:rPr>
        <w:t>.3.1评审小组按照第三章“评审办法”规定的方法、评审因素、标准和程序对</w:t>
      </w:r>
      <w:r>
        <w:rPr>
          <w:rFonts w:hint="eastAsia" w:ascii="宋体" w:hAnsi="宋体" w:eastAsia="宋体" w:cs="宋体"/>
          <w:szCs w:val="21"/>
          <w:lang w:eastAsia="zh-CN"/>
        </w:rPr>
        <w:t>响应文件</w:t>
      </w:r>
      <w:r>
        <w:rPr>
          <w:rFonts w:hint="eastAsia" w:ascii="宋体" w:hAnsi="宋体" w:eastAsia="宋体" w:cs="宋体"/>
          <w:szCs w:val="21"/>
        </w:rPr>
        <w:t>进行评审。第三章“评审办法”没有规定的方法、评审因素和标准，不作为评审依据。</w:t>
      </w:r>
    </w:p>
    <w:p w14:paraId="67805F2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6.3.2评审完成后，评审小组应当向采购人提交书面评审报告和成交候选人名单。评审小组推荐</w:t>
      </w:r>
      <w:bookmarkStart w:id="388" w:name="_Toc144974526"/>
      <w:bookmarkStart w:id="389" w:name="_Toc361508615"/>
      <w:bookmarkStart w:id="390" w:name="_Toc384308240"/>
      <w:bookmarkStart w:id="391" w:name="_Toc247513982"/>
      <w:bookmarkStart w:id="392" w:name="_Toc369531546"/>
      <w:bookmarkStart w:id="393" w:name="_Toc352691502"/>
      <w:bookmarkStart w:id="394" w:name="_Toc300834979"/>
      <w:bookmarkStart w:id="395" w:name="_Toc152042334"/>
      <w:bookmarkStart w:id="396" w:name="_Toc247527583"/>
      <w:bookmarkStart w:id="397" w:name="_Toc152045558"/>
      <w:bookmarkStart w:id="398" w:name="_Toc12259"/>
      <w:r>
        <w:rPr>
          <w:rFonts w:hint="eastAsia" w:ascii="宋体" w:hAnsi="宋体" w:eastAsia="宋体" w:cs="宋体"/>
          <w:szCs w:val="21"/>
        </w:rPr>
        <w:t>成交候选人的人数见供应商须知前附</w:t>
      </w:r>
      <w:bookmarkEnd w:id="388"/>
      <w:bookmarkEnd w:id="389"/>
      <w:bookmarkEnd w:id="390"/>
      <w:bookmarkEnd w:id="391"/>
      <w:bookmarkEnd w:id="392"/>
      <w:bookmarkEnd w:id="393"/>
      <w:bookmarkEnd w:id="394"/>
      <w:bookmarkEnd w:id="395"/>
      <w:bookmarkEnd w:id="396"/>
      <w:bookmarkEnd w:id="397"/>
      <w:bookmarkEnd w:id="398"/>
      <w:r>
        <w:rPr>
          <w:rFonts w:hint="eastAsia" w:ascii="宋体" w:hAnsi="宋体" w:eastAsia="宋体" w:cs="宋体"/>
          <w:szCs w:val="21"/>
        </w:rPr>
        <w:t>表。</w:t>
      </w:r>
    </w:p>
    <w:p w14:paraId="4A6FE365">
      <w:pPr>
        <w:pStyle w:val="4"/>
        <w:spacing w:before="0" w:after="0" w:line="360" w:lineRule="exact"/>
        <w:ind w:firstLine="422" w:firstLineChars="200"/>
        <w:jc w:val="left"/>
        <w:rPr>
          <w:rFonts w:ascii="宋体" w:hAnsi="宋体" w:eastAsia="宋体" w:cs="宋体"/>
          <w:sz w:val="21"/>
          <w:szCs w:val="21"/>
        </w:rPr>
      </w:pPr>
      <w:bookmarkStart w:id="399" w:name="_Toc69937192"/>
      <w:bookmarkStart w:id="400" w:name="_Toc74125918"/>
      <w:bookmarkStart w:id="401" w:name="_Toc80884490"/>
      <w:bookmarkStart w:id="402" w:name="_Toc4662"/>
      <w:bookmarkStart w:id="403" w:name="_Toc10753"/>
      <w:bookmarkStart w:id="404" w:name="_Toc6012"/>
      <w:r>
        <w:rPr>
          <w:rFonts w:hint="eastAsia" w:ascii="宋体" w:hAnsi="宋体" w:eastAsia="宋体" w:cs="宋体"/>
          <w:sz w:val="21"/>
          <w:szCs w:val="21"/>
        </w:rPr>
        <w:t>7. 合同授予</w:t>
      </w:r>
      <w:bookmarkEnd w:id="399"/>
      <w:bookmarkEnd w:id="400"/>
      <w:bookmarkEnd w:id="401"/>
      <w:bookmarkEnd w:id="402"/>
      <w:bookmarkEnd w:id="403"/>
      <w:bookmarkEnd w:id="404"/>
    </w:p>
    <w:p w14:paraId="36633626">
      <w:pPr>
        <w:pStyle w:val="5"/>
        <w:spacing w:before="0" w:after="0" w:line="360" w:lineRule="exact"/>
        <w:ind w:firstLine="420" w:firstLineChars="200"/>
        <w:jc w:val="left"/>
        <w:rPr>
          <w:rFonts w:hint="eastAsia" w:ascii="宋体" w:hAnsi="宋体" w:eastAsia="宋体" w:cs="宋体"/>
          <w:sz w:val="21"/>
          <w:szCs w:val="21"/>
        </w:rPr>
      </w:pPr>
      <w:bookmarkStart w:id="405" w:name="_Toc261338978"/>
      <w:bookmarkStart w:id="406" w:name="_Toc224358065"/>
      <w:bookmarkStart w:id="407" w:name="_Toc224358067"/>
      <w:bookmarkStart w:id="408" w:name="_Toc3479"/>
      <w:bookmarkStart w:id="409" w:name="_Toc80884499"/>
      <w:bookmarkStart w:id="410" w:name="_Toc247513992"/>
      <w:bookmarkStart w:id="411" w:name="_Toc74125927"/>
      <w:bookmarkStart w:id="412" w:name="_Toc20357"/>
      <w:bookmarkStart w:id="413" w:name="_Toc69937201"/>
      <w:bookmarkStart w:id="414" w:name="_Toc2119"/>
      <w:bookmarkStart w:id="415" w:name="_Toc247527593"/>
      <w:bookmarkStart w:id="416" w:name="_Toc361508627"/>
      <w:bookmarkStart w:id="417" w:name="_Toc152042344"/>
      <w:bookmarkStart w:id="418" w:name="_Toc144974536"/>
      <w:bookmarkStart w:id="419" w:name="_Toc152045568"/>
      <w:bookmarkStart w:id="420" w:name="_Toc300834991"/>
      <w:bookmarkStart w:id="421" w:name="_Toc384308252"/>
      <w:bookmarkStart w:id="422" w:name="_Toc24067"/>
      <w:r>
        <w:rPr>
          <w:rFonts w:hint="eastAsia" w:ascii="宋体" w:hAnsi="宋体" w:eastAsia="宋体" w:cs="宋体"/>
          <w:sz w:val="21"/>
          <w:szCs w:val="21"/>
        </w:rPr>
        <w:t>7.1成交方式</w:t>
      </w:r>
      <w:bookmarkEnd w:id="405"/>
    </w:p>
    <w:p w14:paraId="73BB10EF">
      <w:pPr>
        <w:shd w:val="clear" w:color="auto" w:fill="FFFFFF"/>
        <w:spacing w:line="360" w:lineRule="exact"/>
        <w:ind w:firstLine="420" w:firstLineChars="200"/>
        <w:rPr>
          <w:rFonts w:ascii="宋体" w:hAnsi="宋体"/>
          <w:szCs w:val="21"/>
        </w:rPr>
      </w:pPr>
      <w:r>
        <w:rPr>
          <w:rFonts w:hint="eastAsia" w:ascii="宋体" w:hAnsi="宋体"/>
          <w:szCs w:val="21"/>
        </w:rPr>
        <w:t>采购人</w:t>
      </w:r>
      <w:r>
        <w:rPr>
          <w:rFonts w:ascii="宋体" w:hAnsi="宋体"/>
          <w:szCs w:val="21"/>
        </w:rPr>
        <w:t>依据</w:t>
      </w:r>
      <w:r>
        <w:rPr>
          <w:rFonts w:hint="eastAsia" w:ascii="宋体" w:hAnsi="宋体"/>
          <w:szCs w:val="21"/>
        </w:rPr>
        <w:t>评审小组评审情况</w:t>
      </w:r>
      <w:r>
        <w:rPr>
          <w:rFonts w:hint="eastAsia" w:ascii="宋体" w:hAnsi="宋体"/>
          <w:szCs w:val="21"/>
          <w:lang w:eastAsia="zh-CN"/>
        </w:rPr>
        <w:t>由</w:t>
      </w:r>
      <w:r>
        <w:rPr>
          <w:rFonts w:hint="eastAsia" w:ascii="宋体" w:hAnsi="宋体"/>
          <w:szCs w:val="21"/>
        </w:rPr>
        <w:t>公司</w:t>
      </w:r>
      <w:r>
        <w:rPr>
          <w:rFonts w:hint="eastAsia" w:ascii="宋体" w:hAnsi="宋体"/>
          <w:szCs w:val="21"/>
          <w:lang w:eastAsia="zh-CN"/>
        </w:rPr>
        <w:t>招标采购委员会</w:t>
      </w:r>
      <w:r>
        <w:rPr>
          <w:rFonts w:ascii="宋体" w:hAnsi="宋体"/>
          <w:szCs w:val="21"/>
        </w:rPr>
        <w:t>确定</w:t>
      </w:r>
      <w:r>
        <w:rPr>
          <w:rFonts w:hint="eastAsia" w:ascii="宋体" w:hAnsi="宋体"/>
          <w:szCs w:val="21"/>
        </w:rPr>
        <w:t>成交供应商。</w:t>
      </w:r>
    </w:p>
    <w:p w14:paraId="3E7092AB">
      <w:pPr>
        <w:shd w:val="clear" w:color="auto" w:fill="FFFFFF"/>
        <w:spacing w:line="360" w:lineRule="exact"/>
        <w:ind w:firstLine="420" w:firstLineChars="200"/>
        <w:rPr>
          <w:rFonts w:ascii="宋体" w:hAnsi="宋体"/>
          <w:szCs w:val="21"/>
        </w:rPr>
      </w:pPr>
      <w:r>
        <w:rPr>
          <w:rFonts w:hint="eastAsia" w:ascii="宋体" w:hAnsi="宋体"/>
          <w:szCs w:val="21"/>
        </w:rPr>
        <w:t>国有资金占控股或者主导地位的依法必须进行</w:t>
      </w:r>
      <w:r>
        <w:rPr>
          <w:rFonts w:hint="eastAsia" w:ascii="宋体" w:hAnsi="宋体"/>
          <w:szCs w:val="21"/>
          <w:lang w:eastAsia="zh-CN"/>
        </w:rPr>
        <w:t>谈判</w:t>
      </w:r>
      <w:r>
        <w:rPr>
          <w:rFonts w:hint="eastAsia" w:ascii="宋体" w:hAnsi="宋体"/>
          <w:szCs w:val="21"/>
        </w:rPr>
        <w:t>的项目，采购人应当确定排名第一的成交候选人为成交供应商。排名第一的成交候选人放弃成交、因不可抗力不能履行合同、不按照</w:t>
      </w:r>
      <w:r>
        <w:rPr>
          <w:rFonts w:hint="eastAsia" w:ascii="宋体" w:hAnsi="宋体"/>
          <w:szCs w:val="21"/>
          <w:lang w:eastAsia="zh-CN"/>
        </w:rPr>
        <w:t>响应文件</w:t>
      </w:r>
      <w:r>
        <w:rPr>
          <w:rFonts w:hint="eastAsia" w:ascii="宋体" w:hAnsi="宋体"/>
          <w:szCs w:val="21"/>
        </w:rPr>
        <w:t>要求提交履约保证金，或者被查实存在影响成交结果的违法行为等情形，不符合成交条件的，采购人可以按照</w:t>
      </w:r>
      <w:r>
        <w:rPr>
          <w:rFonts w:hint="eastAsia" w:ascii="宋体" w:hAnsi="宋体"/>
          <w:szCs w:val="21"/>
          <w:lang w:eastAsia="zh-CN"/>
        </w:rPr>
        <w:t>评审得分</w:t>
      </w:r>
      <w:r>
        <w:rPr>
          <w:rFonts w:hint="eastAsia" w:ascii="宋体" w:hAnsi="宋体"/>
          <w:szCs w:val="21"/>
        </w:rPr>
        <w:t>名单排序依次确定其他成交候选人为成交供应商，也可以重新</w:t>
      </w:r>
      <w:r>
        <w:rPr>
          <w:rFonts w:hint="eastAsia" w:ascii="宋体" w:hAnsi="宋体"/>
          <w:szCs w:val="21"/>
          <w:lang w:eastAsia="zh-CN"/>
        </w:rPr>
        <w:t>谈判</w:t>
      </w:r>
      <w:r>
        <w:rPr>
          <w:rFonts w:hint="eastAsia" w:ascii="宋体" w:hAnsi="宋体"/>
          <w:szCs w:val="21"/>
        </w:rPr>
        <w:t>。</w:t>
      </w:r>
    </w:p>
    <w:bookmarkEnd w:id="406"/>
    <w:p w14:paraId="27A45145">
      <w:pPr>
        <w:pStyle w:val="5"/>
        <w:spacing w:before="0" w:after="0" w:line="360" w:lineRule="exact"/>
        <w:ind w:firstLine="420" w:firstLineChars="200"/>
        <w:jc w:val="left"/>
        <w:rPr>
          <w:rFonts w:hint="eastAsia" w:ascii="宋体" w:hAnsi="宋体" w:eastAsia="宋体" w:cs="宋体"/>
          <w:sz w:val="21"/>
          <w:szCs w:val="21"/>
        </w:rPr>
      </w:pPr>
      <w:bookmarkStart w:id="423" w:name="_Toc261338979"/>
      <w:bookmarkStart w:id="424" w:name="_Toc192929015"/>
      <w:bookmarkStart w:id="425" w:name="_Toc224358066"/>
      <w:r>
        <w:rPr>
          <w:rFonts w:hint="eastAsia" w:ascii="宋体" w:hAnsi="宋体" w:eastAsia="宋体" w:cs="宋体"/>
          <w:sz w:val="21"/>
          <w:szCs w:val="21"/>
        </w:rPr>
        <w:t>7.2成交通知</w:t>
      </w:r>
      <w:bookmarkEnd w:id="423"/>
    </w:p>
    <w:bookmarkEnd w:id="424"/>
    <w:bookmarkEnd w:id="425"/>
    <w:p w14:paraId="071E47BC">
      <w:pPr>
        <w:spacing w:line="360" w:lineRule="exact"/>
        <w:ind w:firstLine="420" w:firstLineChars="200"/>
        <w:rPr>
          <w:rFonts w:ascii="宋体" w:hAnsi="宋体"/>
          <w:szCs w:val="21"/>
        </w:rPr>
      </w:pPr>
      <w:bookmarkStart w:id="426" w:name="_Toc261338980"/>
      <w:r>
        <w:rPr>
          <w:rFonts w:hint="eastAsia" w:ascii="宋体" w:hAnsi="宋体"/>
          <w:szCs w:val="21"/>
        </w:rPr>
        <w:t>在第3.3条规定的</w:t>
      </w:r>
      <w:r>
        <w:rPr>
          <w:rFonts w:hint="eastAsia" w:ascii="宋体" w:hAnsi="宋体"/>
          <w:szCs w:val="21"/>
          <w:lang w:eastAsia="zh-CN"/>
        </w:rPr>
        <w:t>响应文件</w:t>
      </w:r>
      <w:r>
        <w:rPr>
          <w:rFonts w:hint="eastAsia" w:ascii="宋体" w:hAnsi="宋体"/>
          <w:szCs w:val="21"/>
        </w:rPr>
        <w:t>有效期内或延长后的</w:t>
      </w:r>
      <w:r>
        <w:rPr>
          <w:rFonts w:hint="eastAsia" w:ascii="宋体" w:hAnsi="宋体"/>
          <w:szCs w:val="21"/>
          <w:lang w:eastAsia="zh-CN"/>
        </w:rPr>
        <w:t>响应文件</w:t>
      </w:r>
      <w:r>
        <w:rPr>
          <w:rFonts w:hint="eastAsia" w:ascii="宋体" w:hAnsi="宋体"/>
          <w:szCs w:val="21"/>
        </w:rPr>
        <w:t>有效期内，对拟成交单位将以书面形式向成交供应商发出成交通知，确认接受其</w:t>
      </w:r>
      <w:r>
        <w:rPr>
          <w:rFonts w:hint="eastAsia" w:ascii="宋体" w:hAnsi="宋体"/>
          <w:szCs w:val="21"/>
          <w:lang w:eastAsia="zh-CN"/>
        </w:rPr>
        <w:t>谈判</w:t>
      </w:r>
      <w:r>
        <w:rPr>
          <w:rFonts w:hint="eastAsia" w:ascii="宋体" w:hAnsi="宋体"/>
          <w:szCs w:val="21"/>
        </w:rPr>
        <w:t>申请。成交通知书将为合同组成部分。</w:t>
      </w:r>
    </w:p>
    <w:p w14:paraId="3B6E748D">
      <w:pPr>
        <w:pStyle w:val="5"/>
        <w:spacing w:before="0" w:after="0" w:line="36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7.3履约担保</w:t>
      </w:r>
      <w:bookmarkEnd w:id="426"/>
    </w:p>
    <w:p w14:paraId="510F301D">
      <w:pPr>
        <w:spacing w:line="360" w:lineRule="exact"/>
        <w:ind w:firstLine="420" w:firstLineChars="200"/>
        <w:rPr>
          <w:rFonts w:ascii="宋体" w:hAnsi="宋体"/>
          <w:szCs w:val="21"/>
        </w:rPr>
      </w:pPr>
      <w:r>
        <w:rPr>
          <w:rFonts w:hint="eastAsia" w:ascii="宋体" w:hAnsi="宋体"/>
          <w:szCs w:val="21"/>
        </w:rPr>
        <w:t>7.3.1 在签订合同前，成交供应商应按供应商须知前附表规定的金额、担保形式和</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第四章“合同条款及格式”规定的履约担保格式向采购人提交履约担保。联合体供应商的，其履约担保由牵头人递交，并应符合供应商须知前附表规定的金额、担保形式和</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第四章“合同条款及格式”规定的履约担保格式要求。</w:t>
      </w:r>
    </w:p>
    <w:p w14:paraId="0D238FE3">
      <w:pPr>
        <w:spacing w:line="360" w:lineRule="exact"/>
        <w:ind w:firstLine="420" w:firstLineChars="200"/>
        <w:rPr>
          <w:rFonts w:ascii="宋体" w:hAnsi="宋体"/>
          <w:szCs w:val="21"/>
        </w:rPr>
      </w:pPr>
      <w:r>
        <w:rPr>
          <w:rFonts w:hint="eastAsia" w:ascii="宋体" w:hAnsi="宋体"/>
          <w:szCs w:val="21"/>
        </w:rPr>
        <w:t>7.3.2 履约保函自合同生效日起至</w:t>
      </w:r>
      <w:r>
        <w:rPr>
          <w:rFonts w:hint="eastAsia" w:ascii="宋体" w:hAnsi="宋体"/>
          <w:szCs w:val="21"/>
          <w:lang w:val="en-US" w:eastAsia="zh-CN"/>
        </w:rPr>
        <w:t>货到现场验收合格后30天内</w:t>
      </w:r>
      <w:r>
        <w:rPr>
          <w:rFonts w:hint="eastAsia" w:ascii="宋体" w:hAnsi="宋体"/>
          <w:szCs w:val="21"/>
        </w:rPr>
        <w:t>一直有效。</w:t>
      </w:r>
    </w:p>
    <w:p w14:paraId="44456B4F">
      <w:pPr>
        <w:spacing w:line="360" w:lineRule="exact"/>
        <w:ind w:firstLine="420" w:firstLineChars="200"/>
        <w:rPr>
          <w:rFonts w:ascii="宋体" w:hAnsi="宋体"/>
          <w:szCs w:val="21"/>
        </w:rPr>
      </w:pPr>
      <w:r>
        <w:rPr>
          <w:rFonts w:hint="eastAsia" w:ascii="宋体" w:hAnsi="宋体"/>
          <w:szCs w:val="21"/>
        </w:rPr>
        <w:t>7.3.3 成交供应商不能按本章第7.3.1项要求提交履约担保的，视为放弃成交，其</w:t>
      </w:r>
      <w:r>
        <w:rPr>
          <w:rFonts w:hint="eastAsia" w:ascii="宋体" w:hAnsi="宋体"/>
          <w:szCs w:val="21"/>
          <w:lang w:eastAsia="zh-CN"/>
        </w:rPr>
        <w:t>谈判</w:t>
      </w:r>
      <w:r>
        <w:rPr>
          <w:rFonts w:hint="eastAsia" w:ascii="宋体" w:hAnsi="宋体"/>
          <w:szCs w:val="21"/>
        </w:rPr>
        <w:t>保证金不予退还，给采购人造成的损失超过</w:t>
      </w:r>
      <w:r>
        <w:rPr>
          <w:rFonts w:hint="eastAsia" w:ascii="宋体" w:hAnsi="宋体"/>
          <w:szCs w:val="21"/>
          <w:lang w:eastAsia="zh-CN"/>
        </w:rPr>
        <w:t>谈判</w:t>
      </w:r>
      <w:r>
        <w:rPr>
          <w:rFonts w:hint="eastAsia" w:ascii="宋体" w:hAnsi="宋体"/>
          <w:szCs w:val="21"/>
        </w:rPr>
        <w:t>保证金数额的，成交供应商还应当对超过部分予以赔偿。</w:t>
      </w:r>
    </w:p>
    <w:bookmarkEnd w:id="407"/>
    <w:p w14:paraId="171CA3DF">
      <w:pPr>
        <w:spacing w:line="360" w:lineRule="exact"/>
        <w:ind w:firstLine="420" w:firstLineChars="200"/>
        <w:rPr>
          <w:rFonts w:hint="eastAsia" w:ascii="宋体" w:hAnsi="宋体" w:cs="Times New Roman"/>
          <w:szCs w:val="21"/>
        </w:rPr>
      </w:pPr>
      <w:bookmarkStart w:id="427" w:name="_Toc261338981"/>
      <w:r>
        <w:rPr>
          <w:rFonts w:hint="eastAsia" w:ascii="宋体" w:hAnsi="宋体" w:cs="Times New Roman"/>
          <w:szCs w:val="21"/>
        </w:rPr>
        <w:t>7.4签订合同</w:t>
      </w:r>
      <w:bookmarkEnd w:id="427"/>
    </w:p>
    <w:p w14:paraId="13DCCCC6">
      <w:pPr>
        <w:spacing w:line="360" w:lineRule="exact"/>
        <w:ind w:firstLine="420" w:firstLineChars="200"/>
        <w:rPr>
          <w:rFonts w:ascii="宋体" w:hAnsi="宋体"/>
          <w:szCs w:val="21"/>
        </w:rPr>
      </w:pPr>
      <w:r>
        <w:rPr>
          <w:rFonts w:hint="eastAsia" w:ascii="宋体" w:hAnsi="宋体"/>
          <w:szCs w:val="21"/>
        </w:rPr>
        <w:t>7.4.1采购人和成交供应商应当自成交通知书发出之日起30天内，根据</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和成交供应商的</w:t>
      </w:r>
      <w:r>
        <w:rPr>
          <w:rFonts w:hint="eastAsia" w:ascii="宋体" w:hAnsi="宋体"/>
          <w:szCs w:val="21"/>
          <w:lang w:eastAsia="zh-CN"/>
        </w:rPr>
        <w:t>响应文件</w:t>
      </w:r>
      <w:r>
        <w:rPr>
          <w:rFonts w:hint="eastAsia" w:ascii="宋体" w:hAnsi="宋体"/>
          <w:szCs w:val="21"/>
        </w:rPr>
        <w:t>订立书面合同。成交供应商无正当理由拒签合同的，采购人取消其成交资格，其</w:t>
      </w:r>
      <w:r>
        <w:rPr>
          <w:rFonts w:hint="eastAsia" w:ascii="宋体" w:hAnsi="宋体"/>
          <w:szCs w:val="21"/>
          <w:lang w:eastAsia="zh-CN"/>
        </w:rPr>
        <w:t>谈判</w:t>
      </w:r>
      <w:r>
        <w:rPr>
          <w:rFonts w:hint="eastAsia" w:ascii="宋体" w:hAnsi="宋体"/>
          <w:szCs w:val="21"/>
        </w:rPr>
        <w:t>保证金不予退还（若有）；给采购人造成的损失超过</w:t>
      </w:r>
      <w:r>
        <w:rPr>
          <w:rFonts w:hint="eastAsia" w:ascii="宋体" w:hAnsi="宋体"/>
          <w:szCs w:val="21"/>
          <w:lang w:eastAsia="zh-CN"/>
        </w:rPr>
        <w:t>谈判</w:t>
      </w:r>
      <w:r>
        <w:rPr>
          <w:rFonts w:hint="eastAsia" w:ascii="宋体" w:hAnsi="宋体"/>
          <w:szCs w:val="21"/>
        </w:rPr>
        <w:t>保证金数额的，成交供应商还应当对超过部分予以赔偿。</w:t>
      </w:r>
    </w:p>
    <w:p w14:paraId="4C3FCDE9">
      <w:pPr>
        <w:spacing w:line="360" w:lineRule="exact"/>
        <w:ind w:firstLine="420" w:firstLineChars="200"/>
        <w:rPr>
          <w:rFonts w:ascii="宋体" w:hAnsi="宋体"/>
          <w:szCs w:val="21"/>
        </w:rPr>
      </w:pPr>
      <w:r>
        <w:rPr>
          <w:rFonts w:hint="eastAsia" w:ascii="宋体" w:hAnsi="宋体"/>
          <w:szCs w:val="21"/>
        </w:rPr>
        <w:t>7.4.2发出成交通知书后，采购人无正当理由拒签合同的，采购人向成交供应商退还</w:t>
      </w:r>
      <w:r>
        <w:rPr>
          <w:rFonts w:hint="eastAsia" w:ascii="宋体" w:hAnsi="宋体"/>
          <w:szCs w:val="21"/>
          <w:lang w:eastAsia="zh-CN"/>
        </w:rPr>
        <w:t>谈判</w:t>
      </w:r>
      <w:r>
        <w:rPr>
          <w:rFonts w:hint="eastAsia" w:ascii="宋体" w:hAnsi="宋体"/>
          <w:szCs w:val="21"/>
        </w:rPr>
        <w:t>保证金；给成交供应商造成损失的，还应当赔偿损失。</w:t>
      </w:r>
    </w:p>
    <w:p w14:paraId="47D2E231">
      <w:pPr>
        <w:pStyle w:val="4"/>
        <w:spacing w:before="0" w:after="0" w:line="360" w:lineRule="exact"/>
        <w:ind w:firstLine="422" w:firstLineChars="200"/>
        <w:jc w:val="left"/>
        <w:rPr>
          <w:rFonts w:hint="eastAsia" w:ascii="宋体" w:hAnsi="宋体" w:eastAsia="宋体" w:cs="宋体"/>
          <w:sz w:val="21"/>
          <w:szCs w:val="21"/>
          <w:lang w:eastAsia="zh-CN"/>
        </w:rPr>
      </w:pPr>
      <w:bookmarkStart w:id="428" w:name="_Toc280346288"/>
      <w:bookmarkStart w:id="429" w:name="_Toc385422107"/>
      <w:bookmarkStart w:id="430" w:name="_Toc25474"/>
      <w:bookmarkStart w:id="431" w:name="_Toc224358068"/>
      <w:bookmarkStart w:id="432" w:name="_Toc301532966"/>
      <w:r>
        <w:rPr>
          <w:rFonts w:hint="eastAsia" w:ascii="宋体" w:hAnsi="宋体" w:eastAsia="宋体" w:cs="宋体"/>
          <w:sz w:val="21"/>
          <w:szCs w:val="21"/>
        </w:rPr>
        <w:t>8.重新</w:t>
      </w:r>
      <w:r>
        <w:rPr>
          <w:rFonts w:hint="eastAsia" w:ascii="宋体" w:hAnsi="宋体" w:eastAsia="宋体" w:cs="宋体"/>
          <w:sz w:val="21"/>
          <w:szCs w:val="21"/>
          <w:lang w:eastAsia="zh-CN"/>
        </w:rPr>
        <w:t>谈判</w:t>
      </w:r>
      <w:r>
        <w:rPr>
          <w:rFonts w:hint="eastAsia" w:ascii="宋体" w:hAnsi="宋体" w:eastAsia="宋体" w:cs="宋体"/>
          <w:sz w:val="21"/>
          <w:szCs w:val="21"/>
        </w:rPr>
        <w:t>和不再</w:t>
      </w:r>
      <w:bookmarkEnd w:id="428"/>
      <w:bookmarkEnd w:id="429"/>
      <w:bookmarkEnd w:id="430"/>
      <w:bookmarkEnd w:id="431"/>
      <w:bookmarkEnd w:id="432"/>
      <w:r>
        <w:rPr>
          <w:rFonts w:hint="eastAsia" w:ascii="宋体" w:hAnsi="宋体" w:eastAsia="宋体" w:cs="宋体"/>
          <w:sz w:val="21"/>
          <w:szCs w:val="21"/>
          <w:lang w:eastAsia="zh-CN"/>
        </w:rPr>
        <w:t>谈判</w:t>
      </w:r>
    </w:p>
    <w:p w14:paraId="5528230A">
      <w:pPr>
        <w:spacing w:line="360" w:lineRule="exact"/>
        <w:ind w:firstLine="420" w:firstLineChars="200"/>
        <w:rPr>
          <w:rFonts w:hint="eastAsia" w:ascii="宋体" w:hAnsi="宋体" w:eastAsia="宋体" w:cs="Times New Roman"/>
          <w:szCs w:val="21"/>
          <w:lang w:eastAsia="zh-CN"/>
        </w:rPr>
      </w:pPr>
      <w:bookmarkStart w:id="433" w:name="_Toc261338983"/>
      <w:r>
        <w:rPr>
          <w:rFonts w:hint="eastAsia" w:ascii="宋体" w:hAnsi="宋体" w:cs="Times New Roman"/>
          <w:szCs w:val="21"/>
        </w:rPr>
        <w:t>8.1重新</w:t>
      </w:r>
      <w:bookmarkEnd w:id="433"/>
      <w:r>
        <w:rPr>
          <w:rFonts w:hint="eastAsia" w:ascii="宋体" w:hAnsi="宋体" w:cs="Times New Roman"/>
          <w:szCs w:val="21"/>
          <w:lang w:eastAsia="zh-CN"/>
        </w:rPr>
        <w:t>谈判</w:t>
      </w:r>
    </w:p>
    <w:p w14:paraId="455FB02D">
      <w:pPr>
        <w:spacing w:line="360" w:lineRule="exact"/>
        <w:ind w:firstLine="420" w:firstLineChars="200"/>
        <w:rPr>
          <w:rFonts w:ascii="宋体" w:hAnsi="宋体"/>
          <w:szCs w:val="21"/>
        </w:rPr>
      </w:pPr>
      <w:bookmarkStart w:id="434" w:name="_Toc261338984"/>
      <w:r>
        <w:rPr>
          <w:rFonts w:hint="eastAsia" w:ascii="宋体" w:hAnsi="宋体"/>
          <w:szCs w:val="21"/>
        </w:rPr>
        <w:t>有下列情形之一的，采购人将重新</w:t>
      </w:r>
      <w:r>
        <w:rPr>
          <w:rFonts w:hint="eastAsia" w:ascii="宋体" w:hAnsi="宋体"/>
          <w:szCs w:val="21"/>
          <w:lang w:eastAsia="zh-CN"/>
        </w:rPr>
        <w:t>谈判</w:t>
      </w:r>
      <w:r>
        <w:rPr>
          <w:rFonts w:hint="eastAsia" w:ascii="宋体" w:hAnsi="宋体"/>
          <w:szCs w:val="21"/>
        </w:rPr>
        <w:t>：</w:t>
      </w:r>
    </w:p>
    <w:p w14:paraId="17F8DFB3">
      <w:pPr>
        <w:spacing w:line="360" w:lineRule="exact"/>
        <w:ind w:firstLine="420" w:firstLineChars="200"/>
        <w:rPr>
          <w:rFonts w:ascii="宋体" w:hAnsi="宋体"/>
          <w:szCs w:val="21"/>
        </w:rPr>
      </w:pPr>
      <w:r>
        <w:rPr>
          <w:rFonts w:hint="eastAsia" w:ascii="宋体" w:hAnsi="宋体"/>
          <w:szCs w:val="21"/>
        </w:rPr>
        <w:t>1、</w:t>
      </w:r>
      <w:r>
        <w:rPr>
          <w:rFonts w:hint="eastAsia" w:ascii="宋体" w:hAnsi="宋体"/>
          <w:szCs w:val="21"/>
          <w:lang w:eastAsia="zh-CN"/>
        </w:rPr>
        <w:t>谈判</w:t>
      </w:r>
      <w:r>
        <w:rPr>
          <w:rFonts w:hint="eastAsia" w:ascii="宋体" w:hAnsi="宋体"/>
          <w:szCs w:val="21"/>
        </w:rPr>
        <w:t>截止时间止，供应商少于3家；</w:t>
      </w:r>
    </w:p>
    <w:p w14:paraId="6695E180">
      <w:pPr>
        <w:spacing w:line="360" w:lineRule="exact"/>
        <w:ind w:firstLine="420" w:firstLineChars="200"/>
        <w:rPr>
          <w:rFonts w:ascii="宋体" w:hAnsi="宋体"/>
          <w:szCs w:val="21"/>
        </w:rPr>
      </w:pPr>
      <w:r>
        <w:rPr>
          <w:rFonts w:hint="eastAsia" w:ascii="宋体" w:hAnsi="宋体"/>
          <w:szCs w:val="21"/>
        </w:rPr>
        <w:t>2、经评审小组评审后否决所有供应商的；</w:t>
      </w:r>
    </w:p>
    <w:p w14:paraId="3F094F00">
      <w:pPr>
        <w:spacing w:line="360" w:lineRule="exact"/>
        <w:ind w:firstLine="420" w:firstLineChars="200"/>
        <w:rPr>
          <w:rFonts w:ascii="宋体" w:hAnsi="宋体"/>
          <w:szCs w:val="21"/>
        </w:rPr>
      </w:pPr>
      <w:r>
        <w:rPr>
          <w:rFonts w:hint="eastAsia" w:ascii="宋体" w:hAnsi="宋体"/>
          <w:szCs w:val="21"/>
        </w:rPr>
        <w:t>3、经过评审小组评审后，如合格的供应商少于三个，经评审小组评定剩余合格供应商仍具有有效竞争的，评审小组应继续进行评审，并按</w:t>
      </w:r>
      <w:r>
        <w:rPr>
          <w:rFonts w:hint="eastAsia" w:ascii="宋体" w:hAnsi="宋体"/>
          <w:szCs w:val="21"/>
          <w:lang w:eastAsia="zh-CN"/>
        </w:rPr>
        <w:t>响应文件</w:t>
      </w:r>
      <w:r>
        <w:rPr>
          <w:rFonts w:hint="eastAsia" w:ascii="宋体" w:hAnsi="宋体"/>
          <w:szCs w:val="21"/>
        </w:rPr>
        <w:t>规定推荐成交候选人，否则，采购人将重新</w:t>
      </w:r>
      <w:r>
        <w:rPr>
          <w:rFonts w:hint="eastAsia" w:ascii="宋体" w:hAnsi="宋体"/>
          <w:szCs w:val="21"/>
          <w:lang w:eastAsia="zh-CN"/>
        </w:rPr>
        <w:t>谈判</w:t>
      </w:r>
      <w:r>
        <w:rPr>
          <w:rFonts w:hint="eastAsia" w:ascii="宋体" w:hAnsi="宋体"/>
          <w:szCs w:val="21"/>
        </w:rPr>
        <w:t>。</w:t>
      </w:r>
    </w:p>
    <w:p w14:paraId="0BCE51E5">
      <w:pPr>
        <w:spacing w:line="360" w:lineRule="exact"/>
        <w:ind w:firstLine="420" w:firstLineChars="200"/>
        <w:rPr>
          <w:rFonts w:hint="eastAsia" w:ascii="宋体" w:hAnsi="宋体" w:eastAsia="宋体" w:cs="Times New Roman"/>
          <w:szCs w:val="21"/>
          <w:lang w:eastAsia="zh-CN"/>
        </w:rPr>
      </w:pPr>
      <w:r>
        <w:rPr>
          <w:rFonts w:hint="eastAsia" w:ascii="宋体" w:hAnsi="宋体" w:cs="Times New Roman"/>
          <w:szCs w:val="21"/>
        </w:rPr>
        <w:t>8.2</w:t>
      </w:r>
      <w:bookmarkEnd w:id="434"/>
      <w:r>
        <w:rPr>
          <w:rFonts w:hint="eastAsia" w:ascii="宋体" w:hAnsi="宋体" w:cs="Times New Roman"/>
          <w:szCs w:val="21"/>
        </w:rPr>
        <w:t>二次</w:t>
      </w:r>
      <w:r>
        <w:rPr>
          <w:rFonts w:hint="eastAsia" w:ascii="宋体" w:hAnsi="宋体" w:cs="Times New Roman"/>
          <w:szCs w:val="21"/>
          <w:lang w:eastAsia="zh-CN"/>
        </w:rPr>
        <w:t>谈判</w:t>
      </w:r>
      <w:r>
        <w:rPr>
          <w:rFonts w:hint="eastAsia" w:ascii="宋体" w:hAnsi="宋体" w:cs="Times New Roman"/>
          <w:szCs w:val="21"/>
        </w:rPr>
        <w:t>和不再</w:t>
      </w:r>
      <w:r>
        <w:rPr>
          <w:rFonts w:hint="eastAsia" w:ascii="宋体" w:hAnsi="宋体" w:cs="Times New Roman"/>
          <w:szCs w:val="21"/>
          <w:lang w:eastAsia="zh-CN"/>
        </w:rPr>
        <w:t>谈判</w:t>
      </w:r>
    </w:p>
    <w:p w14:paraId="2BD720E2">
      <w:pPr>
        <w:spacing w:line="360" w:lineRule="exact"/>
        <w:ind w:right="84" w:rightChars="40" w:firstLine="420" w:firstLineChars="200"/>
        <w:jc w:val="left"/>
        <w:rPr>
          <w:rFonts w:ascii="宋体" w:hAnsi="宋体"/>
          <w:szCs w:val="21"/>
        </w:rPr>
      </w:pPr>
      <w:r>
        <w:rPr>
          <w:rFonts w:hint="eastAsia" w:ascii="宋体" w:hAnsi="宋体"/>
          <w:szCs w:val="21"/>
        </w:rPr>
        <w:t>重新</w:t>
      </w:r>
      <w:r>
        <w:rPr>
          <w:rFonts w:hint="eastAsia" w:ascii="宋体" w:hAnsi="宋体"/>
          <w:szCs w:val="21"/>
          <w:lang w:eastAsia="zh-CN"/>
        </w:rPr>
        <w:t>谈判</w:t>
      </w:r>
      <w:r>
        <w:rPr>
          <w:rFonts w:hint="eastAsia" w:ascii="宋体" w:hAnsi="宋体"/>
          <w:szCs w:val="21"/>
        </w:rPr>
        <w:t>后供应商仍少于3个，按法定程序</w:t>
      </w:r>
      <w:r>
        <w:rPr>
          <w:rFonts w:hint="eastAsia" w:ascii="宋体" w:hAnsi="宋体"/>
          <w:szCs w:val="21"/>
          <w:lang w:eastAsia="zh-CN"/>
        </w:rPr>
        <w:t>谈判</w:t>
      </w:r>
      <w:r>
        <w:rPr>
          <w:rFonts w:hint="eastAsia" w:ascii="宋体" w:hAnsi="宋体"/>
          <w:szCs w:val="21"/>
        </w:rPr>
        <w:t>和评审，确定成交供应商。经评审无合格供应商，经批准后不再进行</w:t>
      </w:r>
      <w:r>
        <w:rPr>
          <w:rFonts w:hint="eastAsia" w:ascii="宋体" w:hAnsi="宋体"/>
          <w:szCs w:val="21"/>
          <w:lang w:eastAsia="zh-CN"/>
        </w:rPr>
        <w:t>谈判</w:t>
      </w:r>
      <w:r>
        <w:rPr>
          <w:rFonts w:hint="eastAsia" w:ascii="宋体" w:hAnsi="宋体"/>
          <w:szCs w:val="21"/>
        </w:rPr>
        <w:t>。</w:t>
      </w:r>
    </w:p>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14:paraId="341D3F4E">
      <w:pPr>
        <w:pStyle w:val="4"/>
        <w:spacing w:before="0" w:after="0" w:line="360" w:lineRule="exact"/>
        <w:ind w:firstLine="422" w:firstLineChars="200"/>
        <w:jc w:val="left"/>
        <w:rPr>
          <w:rFonts w:hint="eastAsia" w:ascii="宋体" w:hAnsi="宋体" w:eastAsia="宋体" w:cs="宋体"/>
          <w:sz w:val="21"/>
          <w:szCs w:val="21"/>
        </w:rPr>
      </w:pPr>
      <w:r>
        <w:rPr>
          <w:rFonts w:hint="eastAsia" w:ascii="宋体" w:hAnsi="宋体" w:eastAsia="宋体" w:cs="宋体"/>
          <w:sz w:val="21"/>
          <w:szCs w:val="21"/>
        </w:rPr>
        <w:t>9.纪律和监督</w:t>
      </w:r>
    </w:p>
    <w:p w14:paraId="3FBE1F6C">
      <w:pPr>
        <w:spacing w:line="360" w:lineRule="exact"/>
        <w:ind w:firstLine="420" w:firstLineChars="200"/>
        <w:rPr>
          <w:rFonts w:hint="eastAsia" w:ascii="宋体" w:hAnsi="宋体" w:cs="Times New Roman"/>
          <w:szCs w:val="21"/>
        </w:rPr>
      </w:pPr>
      <w:bookmarkStart w:id="435" w:name="_Toc261338986"/>
      <w:bookmarkStart w:id="436" w:name="_Toc224358073"/>
      <w:r>
        <w:rPr>
          <w:rFonts w:hint="eastAsia" w:ascii="宋体" w:hAnsi="宋体" w:cs="Times New Roman"/>
          <w:szCs w:val="21"/>
        </w:rPr>
        <w:t>9.1对采购人的纪律要求</w:t>
      </w:r>
      <w:bookmarkEnd w:id="435"/>
    </w:p>
    <w:p w14:paraId="03B19E4E">
      <w:pPr>
        <w:spacing w:line="360" w:lineRule="exact"/>
        <w:ind w:firstLine="420" w:firstLineChars="200"/>
        <w:rPr>
          <w:rFonts w:ascii="宋体" w:hAnsi="宋体"/>
          <w:szCs w:val="21"/>
        </w:rPr>
      </w:pPr>
      <w:r>
        <w:rPr>
          <w:rFonts w:hint="eastAsia" w:ascii="宋体" w:hAnsi="宋体"/>
          <w:szCs w:val="21"/>
        </w:rPr>
        <w:t>采购人不得泄漏</w:t>
      </w:r>
      <w:r>
        <w:rPr>
          <w:rFonts w:hint="eastAsia" w:ascii="宋体" w:hAnsi="宋体"/>
          <w:szCs w:val="21"/>
          <w:lang w:eastAsia="zh-CN"/>
        </w:rPr>
        <w:t>谈判</w:t>
      </w:r>
      <w:r>
        <w:rPr>
          <w:rFonts w:hint="eastAsia" w:ascii="宋体" w:hAnsi="宋体"/>
          <w:szCs w:val="21"/>
        </w:rPr>
        <w:t>活动中应当保密的情况和资料，不得与供应商串通损害国家利益、社会公共利益或者他人合法权益。</w:t>
      </w:r>
    </w:p>
    <w:p w14:paraId="24EAE881">
      <w:pPr>
        <w:spacing w:line="360" w:lineRule="exact"/>
        <w:ind w:firstLine="420" w:firstLineChars="200"/>
        <w:rPr>
          <w:rFonts w:ascii="宋体" w:hAnsi="宋体"/>
          <w:szCs w:val="21"/>
        </w:rPr>
      </w:pPr>
      <w:r>
        <w:rPr>
          <w:rFonts w:hint="eastAsia" w:ascii="宋体" w:hAnsi="宋体"/>
          <w:szCs w:val="21"/>
        </w:rPr>
        <w:t>下列行为均属采购人与供应商串通</w:t>
      </w:r>
      <w:r>
        <w:rPr>
          <w:rFonts w:hint="eastAsia" w:ascii="宋体" w:hAnsi="宋体"/>
          <w:szCs w:val="21"/>
          <w:lang w:eastAsia="zh-CN"/>
        </w:rPr>
        <w:t>谈判</w:t>
      </w:r>
      <w:r>
        <w:rPr>
          <w:rFonts w:hint="eastAsia" w:ascii="宋体" w:hAnsi="宋体"/>
          <w:szCs w:val="21"/>
        </w:rPr>
        <w:t>：</w:t>
      </w:r>
    </w:p>
    <w:p w14:paraId="752E4811">
      <w:pPr>
        <w:spacing w:line="360" w:lineRule="exact"/>
        <w:ind w:firstLine="420" w:firstLineChars="200"/>
        <w:rPr>
          <w:rFonts w:ascii="宋体" w:hAnsi="宋体"/>
          <w:szCs w:val="21"/>
        </w:rPr>
      </w:pPr>
      <w:r>
        <w:rPr>
          <w:rFonts w:hint="eastAsia" w:ascii="宋体" w:hAnsi="宋体"/>
          <w:szCs w:val="21"/>
        </w:rPr>
        <w:t>(l)采购人在</w:t>
      </w:r>
      <w:r>
        <w:rPr>
          <w:rFonts w:hint="eastAsia" w:ascii="宋体" w:hAnsi="宋体"/>
          <w:szCs w:val="21"/>
          <w:lang w:eastAsia="zh-CN"/>
        </w:rPr>
        <w:t>谈判</w:t>
      </w:r>
      <w:r>
        <w:rPr>
          <w:rFonts w:hint="eastAsia" w:ascii="宋体" w:hAnsi="宋体"/>
          <w:szCs w:val="21"/>
        </w:rPr>
        <w:t>前开启</w:t>
      </w:r>
      <w:r>
        <w:rPr>
          <w:rFonts w:hint="eastAsia" w:ascii="宋体" w:hAnsi="宋体"/>
          <w:szCs w:val="21"/>
          <w:lang w:eastAsia="zh-CN"/>
        </w:rPr>
        <w:t>响应文件</w:t>
      </w:r>
      <w:r>
        <w:rPr>
          <w:rFonts w:hint="eastAsia" w:ascii="宋体" w:hAnsi="宋体"/>
          <w:szCs w:val="21"/>
        </w:rPr>
        <w:t>，并将</w:t>
      </w:r>
      <w:r>
        <w:rPr>
          <w:rFonts w:hint="eastAsia" w:ascii="宋体" w:hAnsi="宋体"/>
          <w:szCs w:val="21"/>
          <w:lang w:eastAsia="zh-CN"/>
        </w:rPr>
        <w:t>谈判</w:t>
      </w:r>
      <w:r>
        <w:rPr>
          <w:rFonts w:hint="eastAsia" w:ascii="宋体" w:hAnsi="宋体"/>
          <w:szCs w:val="21"/>
        </w:rPr>
        <w:t>情况告知其它供应商，或者协助供应商撤换</w:t>
      </w:r>
      <w:r>
        <w:rPr>
          <w:rFonts w:hint="eastAsia" w:ascii="宋体" w:hAnsi="宋体"/>
          <w:szCs w:val="21"/>
          <w:lang w:eastAsia="zh-CN"/>
        </w:rPr>
        <w:t>响应文件</w:t>
      </w:r>
      <w:r>
        <w:rPr>
          <w:rFonts w:hint="eastAsia" w:ascii="宋体" w:hAnsi="宋体"/>
          <w:szCs w:val="21"/>
        </w:rPr>
        <w:t>，更改报价；</w:t>
      </w:r>
    </w:p>
    <w:p w14:paraId="3E06C337">
      <w:pPr>
        <w:spacing w:line="360" w:lineRule="exact"/>
        <w:ind w:firstLine="420" w:firstLineChars="200"/>
        <w:rPr>
          <w:rFonts w:ascii="宋体" w:hAnsi="宋体"/>
          <w:szCs w:val="21"/>
        </w:rPr>
      </w:pPr>
      <w:r>
        <w:rPr>
          <w:rFonts w:hint="eastAsia" w:ascii="宋体" w:hAnsi="宋体"/>
          <w:szCs w:val="21"/>
        </w:rPr>
        <w:t>(2)采购人向供应商泄露标底；</w:t>
      </w:r>
    </w:p>
    <w:p w14:paraId="493F67E6">
      <w:pPr>
        <w:spacing w:line="360" w:lineRule="exact"/>
        <w:ind w:firstLine="420" w:firstLineChars="200"/>
        <w:rPr>
          <w:rFonts w:ascii="宋体" w:hAnsi="宋体"/>
          <w:szCs w:val="21"/>
        </w:rPr>
      </w:pPr>
      <w:r>
        <w:rPr>
          <w:rFonts w:hint="eastAsia" w:ascii="宋体" w:hAnsi="宋体"/>
          <w:szCs w:val="21"/>
        </w:rPr>
        <w:t>(3)采购人与供应商商定，</w:t>
      </w:r>
      <w:r>
        <w:rPr>
          <w:rFonts w:hint="eastAsia" w:ascii="宋体" w:hAnsi="宋体"/>
          <w:szCs w:val="21"/>
          <w:lang w:eastAsia="zh-CN"/>
        </w:rPr>
        <w:t>谈判</w:t>
      </w:r>
      <w:r>
        <w:rPr>
          <w:rFonts w:hint="eastAsia" w:ascii="宋体" w:hAnsi="宋体"/>
          <w:szCs w:val="21"/>
        </w:rPr>
        <w:t>时压低或抬高标价，成交后再给供应商或采购人额外补偿；</w:t>
      </w:r>
    </w:p>
    <w:p w14:paraId="5D092ACA">
      <w:pPr>
        <w:spacing w:line="360" w:lineRule="exact"/>
        <w:ind w:firstLine="420" w:firstLineChars="200"/>
        <w:rPr>
          <w:rFonts w:ascii="宋体" w:hAnsi="宋体"/>
          <w:szCs w:val="21"/>
        </w:rPr>
      </w:pPr>
      <w:r>
        <w:rPr>
          <w:rFonts w:hint="eastAsia" w:ascii="宋体" w:hAnsi="宋体"/>
          <w:szCs w:val="21"/>
        </w:rPr>
        <w:t>(4)采购人预先内定成交供应商；</w:t>
      </w:r>
    </w:p>
    <w:p w14:paraId="4CAA7A59">
      <w:pPr>
        <w:spacing w:line="360" w:lineRule="exact"/>
        <w:ind w:firstLine="420" w:firstLineChars="200"/>
        <w:rPr>
          <w:rFonts w:ascii="宋体" w:hAnsi="宋体"/>
          <w:szCs w:val="21"/>
        </w:rPr>
      </w:pPr>
      <w:r>
        <w:rPr>
          <w:rFonts w:hint="eastAsia" w:ascii="宋体" w:hAnsi="宋体"/>
          <w:szCs w:val="21"/>
        </w:rPr>
        <w:t>(5)其它串通</w:t>
      </w:r>
      <w:r>
        <w:rPr>
          <w:rFonts w:hint="eastAsia" w:ascii="宋体" w:hAnsi="宋体"/>
          <w:szCs w:val="21"/>
          <w:lang w:eastAsia="zh-CN"/>
        </w:rPr>
        <w:t>谈判</w:t>
      </w:r>
      <w:r>
        <w:rPr>
          <w:rFonts w:hint="eastAsia" w:ascii="宋体" w:hAnsi="宋体"/>
          <w:szCs w:val="21"/>
        </w:rPr>
        <w:t>行为。</w:t>
      </w:r>
    </w:p>
    <w:bookmarkEnd w:id="436"/>
    <w:p w14:paraId="0AA1E3C9">
      <w:pPr>
        <w:spacing w:line="360" w:lineRule="exact"/>
        <w:ind w:firstLine="420" w:firstLineChars="200"/>
        <w:rPr>
          <w:rFonts w:hint="eastAsia" w:ascii="宋体" w:hAnsi="宋体" w:cs="Times New Roman"/>
          <w:szCs w:val="21"/>
        </w:rPr>
      </w:pPr>
      <w:bookmarkStart w:id="437" w:name="_Toc261338987"/>
      <w:bookmarkStart w:id="438" w:name="_Toc224358074"/>
      <w:r>
        <w:rPr>
          <w:rFonts w:hint="eastAsia" w:ascii="宋体" w:hAnsi="宋体" w:cs="Times New Roman"/>
          <w:szCs w:val="21"/>
        </w:rPr>
        <w:t>9.2对供应商的纪律要求</w:t>
      </w:r>
      <w:bookmarkEnd w:id="437"/>
    </w:p>
    <w:p w14:paraId="5CE7EA72">
      <w:pPr>
        <w:spacing w:line="360" w:lineRule="exact"/>
        <w:ind w:firstLine="420" w:firstLineChars="200"/>
        <w:rPr>
          <w:rFonts w:ascii="宋体" w:hAnsi="宋体"/>
          <w:szCs w:val="21"/>
        </w:rPr>
      </w:pPr>
      <w:r>
        <w:rPr>
          <w:rFonts w:hint="eastAsia" w:ascii="宋体" w:hAnsi="宋体"/>
          <w:szCs w:val="21"/>
        </w:rPr>
        <w:t>供应商不得相互串通</w:t>
      </w:r>
      <w:r>
        <w:rPr>
          <w:rFonts w:hint="eastAsia" w:ascii="宋体" w:hAnsi="宋体"/>
          <w:szCs w:val="21"/>
          <w:lang w:eastAsia="zh-CN"/>
        </w:rPr>
        <w:t>谈判</w:t>
      </w:r>
      <w:r>
        <w:rPr>
          <w:rFonts w:hint="eastAsia" w:ascii="宋体" w:hAnsi="宋体"/>
          <w:szCs w:val="21"/>
        </w:rPr>
        <w:t>或者与采购人串通</w:t>
      </w:r>
      <w:r>
        <w:rPr>
          <w:rFonts w:hint="eastAsia" w:ascii="宋体" w:hAnsi="宋体"/>
          <w:szCs w:val="21"/>
          <w:lang w:eastAsia="zh-CN"/>
        </w:rPr>
        <w:t>谈判</w:t>
      </w:r>
      <w:r>
        <w:rPr>
          <w:rFonts w:hint="eastAsia" w:ascii="宋体" w:hAnsi="宋体"/>
          <w:szCs w:val="21"/>
        </w:rPr>
        <w:t>，不得向采购人或者评审小组成员行贿谋取成交，不得以他人名义参与</w:t>
      </w:r>
      <w:r>
        <w:rPr>
          <w:rFonts w:hint="eastAsia" w:ascii="宋体" w:hAnsi="宋体"/>
          <w:szCs w:val="21"/>
          <w:lang w:eastAsia="zh-CN"/>
        </w:rPr>
        <w:t>谈判</w:t>
      </w:r>
      <w:r>
        <w:rPr>
          <w:rFonts w:hint="eastAsia" w:ascii="宋体" w:hAnsi="宋体"/>
          <w:szCs w:val="21"/>
        </w:rPr>
        <w:t>或者以其它方式弄虚作假骗取成交；供应商不得以任何方式干扰、影响评审工作。</w:t>
      </w:r>
    </w:p>
    <w:p w14:paraId="6E5BFCF4">
      <w:pPr>
        <w:spacing w:line="360" w:lineRule="exact"/>
        <w:ind w:firstLine="420" w:firstLineChars="200"/>
        <w:rPr>
          <w:rFonts w:ascii="宋体" w:hAnsi="宋体"/>
          <w:szCs w:val="21"/>
        </w:rPr>
      </w:pPr>
      <w:r>
        <w:rPr>
          <w:rFonts w:hint="eastAsia" w:ascii="宋体" w:hAnsi="宋体"/>
          <w:szCs w:val="21"/>
        </w:rPr>
        <w:t>9.2.1下列行为均属以他人名义参与</w:t>
      </w:r>
      <w:r>
        <w:rPr>
          <w:rFonts w:hint="eastAsia" w:ascii="宋体" w:hAnsi="宋体"/>
          <w:szCs w:val="21"/>
          <w:lang w:eastAsia="zh-CN"/>
        </w:rPr>
        <w:t>谈判</w:t>
      </w:r>
      <w:r>
        <w:rPr>
          <w:rFonts w:hint="eastAsia" w:ascii="宋体" w:hAnsi="宋体"/>
          <w:szCs w:val="21"/>
        </w:rPr>
        <w:t>：</w:t>
      </w:r>
    </w:p>
    <w:p w14:paraId="687704A0">
      <w:pPr>
        <w:spacing w:line="360" w:lineRule="exact"/>
        <w:ind w:firstLine="420" w:firstLineChars="200"/>
        <w:rPr>
          <w:rFonts w:ascii="宋体" w:hAnsi="宋体"/>
          <w:szCs w:val="21"/>
        </w:rPr>
      </w:pPr>
      <w:r>
        <w:rPr>
          <w:rFonts w:hint="eastAsia" w:ascii="宋体" w:hAnsi="宋体"/>
          <w:szCs w:val="21"/>
        </w:rPr>
        <w:t>(l)供应商挂靠其它施工单位；</w:t>
      </w:r>
    </w:p>
    <w:p w14:paraId="0ED16CB3">
      <w:pPr>
        <w:spacing w:line="360" w:lineRule="exact"/>
        <w:ind w:firstLine="420" w:firstLineChars="200"/>
        <w:rPr>
          <w:rFonts w:ascii="宋体" w:hAnsi="宋体"/>
          <w:szCs w:val="21"/>
        </w:rPr>
      </w:pPr>
      <w:r>
        <w:rPr>
          <w:rFonts w:hint="eastAsia" w:ascii="宋体" w:hAnsi="宋体"/>
          <w:szCs w:val="21"/>
        </w:rPr>
        <w:t>(2)供应商从其它施工单位通过转让或租借的方式获取资格或资质证书；</w:t>
      </w:r>
    </w:p>
    <w:p w14:paraId="2F7CF842">
      <w:pPr>
        <w:spacing w:line="360" w:lineRule="exact"/>
        <w:ind w:firstLine="420" w:firstLineChars="200"/>
        <w:rPr>
          <w:rFonts w:ascii="宋体" w:hAnsi="宋体"/>
          <w:szCs w:val="21"/>
        </w:rPr>
      </w:pPr>
      <w:r>
        <w:rPr>
          <w:rFonts w:hint="eastAsia" w:ascii="宋体" w:hAnsi="宋体"/>
          <w:szCs w:val="21"/>
        </w:rPr>
        <w:t>(3)由其它单位及法定代表人在自己编制的</w:t>
      </w:r>
      <w:r>
        <w:rPr>
          <w:rFonts w:hint="eastAsia" w:ascii="宋体" w:hAnsi="宋体"/>
          <w:szCs w:val="21"/>
          <w:lang w:eastAsia="zh-CN"/>
        </w:rPr>
        <w:t>响应文件</w:t>
      </w:r>
      <w:r>
        <w:rPr>
          <w:rFonts w:hint="eastAsia" w:ascii="宋体" w:hAnsi="宋体"/>
          <w:szCs w:val="21"/>
        </w:rPr>
        <w:t>上加盖印章或签字的行为。</w:t>
      </w:r>
    </w:p>
    <w:p w14:paraId="222F587D">
      <w:pPr>
        <w:spacing w:line="360" w:lineRule="exact"/>
        <w:ind w:firstLine="420" w:firstLineChars="200"/>
        <w:rPr>
          <w:rFonts w:ascii="宋体" w:hAnsi="宋体"/>
          <w:szCs w:val="21"/>
        </w:rPr>
      </w:pPr>
      <w:r>
        <w:rPr>
          <w:rFonts w:hint="eastAsia" w:ascii="宋体" w:hAnsi="宋体"/>
          <w:szCs w:val="21"/>
        </w:rPr>
        <w:t>9.2.2下列行为，视为允许他人以本单位名义承揽工程：</w:t>
      </w:r>
    </w:p>
    <w:p w14:paraId="15C45BF2">
      <w:pPr>
        <w:spacing w:line="360" w:lineRule="exact"/>
        <w:ind w:firstLine="420" w:firstLineChars="200"/>
        <w:rPr>
          <w:rFonts w:ascii="宋体" w:hAnsi="宋体"/>
          <w:szCs w:val="21"/>
        </w:rPr>
      </w:pPr>
      <w:r>
        <w:rPr>
          <w:rFonts w:hint="eastAsia" w:ascii="宋体" w:hAnsi="宋体"/>
          <w:szCs w:val="21"/>
        </w:rPr>
        <w:t>(l)供应商的法定代表人的委托代理人不是供应商本单位人员；</w:t>
      </w:r>
    </w:p>
    <w:p w14:paraId="3CE37284">
      <w:pPr>
        <w:spacing w:line="360" w:lineRule="exact"/>
        <w:ind w:firstLine="420" w:firstLineChars="200"/>
        <w:rPr>
          <w:rFonts w:ascii="宋体" w:hAnsi="宋体"/>
          <w:szCs w:val="21"/>
        </w:rPr>
      </w:pPr>
      <w:r>
        <w:rPr>
          <w:rFonts w:hint="eastAsia" w:ascii="宋体" w:hAnsi="宋体"/>
          <w:szCs w:val="21"/>
        </w:rPr>
        <w:t>(2)供应商拟在施工现场所设项目管理机构的项目经理、技术负责人、财务负责人、质量管理人员、安全管理人员（专职安全生产管理人员）不是本单位人员。</w:t>
      </w:r>
    </w:p>
    <w:p w14:paraId="53439209">
      <w:pPr>
        <w:spacing w:line="360" w:lineRule="exact"/>
        <w:ind w:firstLine="420" w:firstLineChars="200"/>
        <w:rPr>
          <w:rFonts w:ascii="宋体" w:hAnsi="宋体"/>
          <w:szCs w:val="21"/>
        </w:rPr>
      </w:pPr>
      <w:r>
        <w:rPr>
          <w:rFonts w:hint="eastAsia" w:ascii="宋体" w:hAnsi="宋体"/>
          <w:szCs w:val="21"/>
        </w:rPr>
        <w:t>供应商本单位人员，必须同时满足以下条件：</w:t>
      </w:r>
    </w:p>
    <w:p w14:paraId="7DB6A841">
      <w:pPr>
        <w:spacing w:line="360" w:lineRule="exact"/>
        <w:ind w:firstLine="420" w:firstLineChars="200"/>
        <w:rPr>
          <w:rFonts w:ascii="宋体" w:hAnsi="宋体"/>
          <w:szCs w:val="21"/>
        </w:rPr>
      </w:pPr>
      <w:r>
        <w:rPr>
          <w:rFonts w:hint="eastAsia" w:ascii="宋体" w:hAnsi="宋体"/>
          <w:szCs w:val="21"/>
        </w:rPr>
        <w:t>(l)聘任合同必须由供应商单位与之签订；</w:t>
      </w:r>
    </w:p>
    <w:p w14:paraId="5E92FB8C">
      <w:pPr>
        <w:spacing w:line="360" w:lineRule="exact"/>
        <w:ind w:firstLine="420" w:firstLineChars="200"/>
        <w:rPr>
          <w:rFonts w:ascii="宋体" w:hAnsi="宋体"/>
          <w:szCs w:val="21"/>
        </w:rPr>
      </w:pPr>
      <w:r>
        <w:rPr>
          <w:rFonts w:hint="eastAsia" w:ascii="宋体" w:hAnsi="宋体"/>
          <w:szCs w:val="21"/>
        </w:rPr>
        <w:t>(2)与供应商单位有合法的工资关系；</w:t>
      </w:r>
    </w:p>
    <w:p w14:paraId="3F1149ED">
      <w:pPr>
        <w:spacing w:line="360" w:lineRule="exact"/>
        <w:ind w:firstLine="420" w:firstLineChars="200"/>
        <w:rPr>
          <w:rFonts w:ascii="宋体" w:hAnsi="宋体"/>
          <w:szCs w:val="21"/>
        </w:rPr>
      </w:pPr>
      <w:r>
        <w:rPr>
          <w:rFonts w:hint="eastAsia" w:ascii="宋体" w:hAnsi="宋体"/>
          <w:szCs w:val="21"/>
        </w:rPr>
        <w:t>(3)供应商单位为其办理社会保险关系，或具有其它有效证明其为本单位人员身份的文件。</w:t>
      </w:r>
    </w:p>
    <w:p w14:paraId="5FB79D39">
      <w:pPr>
        <w:spacing w:line="360" w:lineRule="exact"/>
        <w:ind w:firstLine="420" w:firstLineChars="200"/>
        <w:rPr>
          <w:rFonts w:ascii="宋体" w:hAnsi="宋体"/>
          <w:szCs w:val="21"/>
        </w:rPr>
      </w:pPr>
      <w:r>
        <w:rPr>
          <w:rFonts w:hint="eastAsia" w:ascii="宋体" w:hAnsi="宋体"/>
          <w:szCs w:val="21"/>
        </w:rPr>
        <w:t>9.2.3下列行为均属供应商串通</w:t>
      </w:r>
      <w:r>
        <w:rPr>
          <w:rFonts w:hint="eastAsia" w:ascii="宋体" w:hAnsi="宋体"/>
          <w:szCs w:val="21"/>
          <w:lang w:eastAsia="zh-CN"/>
        </w:rPr>
        <w:t>谈判</w:t>
      </w:r>
      <w:r>
        <w:rPr>
          <w:rFonts w:hint="eastAsia" w:ascii="宋体" w:hAnsi="宋体"/>
          <w:szCs w:val="21"/>
        </w:rPr>
        <w:t>报价：</w:t>
      </w:r>
    </w:p>
    <w:p w14:paraId="70C390B6">
      <w:pPr>
        <w:spacing w:line="360" w:lineRule="exact"/>
        <w:ind w:firstLine="420" w:firstLineChars="200"/>
        <w:rPr>
          <w:rFonts w:ascii="宋体" w:hAnsi="宋体"/>
          <w:szCs w:val="21"/>
        </w:rPr>
      </w:pPr>
      <w:r>
        <w:rPr>
          <w:rFonts w:hint="eastAsia" w:ascii="宋体" w:hAnsi="宋体"/>
          <w:szCs w:val="21"/>
        </w:rPr>
        <w:t>(l)供应商之间相互约定抬高或压低</w:t>
      </w:r>
      <w:r>
        <w:rPr>
          <w:rFonts w:hint="eastAsia" w:ascii="宋体" w:hAnsi="宋体"/>
          <w:szCs w:val="21"/>
          <w:lang w:eastAsia="zh-CN"/>
        </w:rPr>
        <w:t>谈判</w:t>
      </w:r>
      <w:r>
        <w:rPr>
          <w:rFonts w:hint="eastAsia" w:ascii="宋体" w:hAnsi="宋体"/>
          <w:szCs w:val="21"/>
        </w:rPr>
        <w:t>报价；</w:t>
      </w:r>
    </w:p>
    <w:p w14:paraId="27C3D5F6">
      <w:pPr>
        <w:spacing w:line="360" w:lineRule="exact"/>
        <w:ind w:firstLine="420" w:firstLineChars="200"/>
        <w:rPr>
          <w:rFonts w:ascii="宋体" w:hAnsi="宋体"/>
          <w:szCs w:val="21"/>
        </w:rPr>
      </w:pPr>
      <w:r>
        <w:rPr>
          <w:rFonts w:hint="eastAsia" w:ascii="宋体" w:hAnsi="宋体"/>
          <w:szCs w:val="21"/>
        </w:rPr>
        <w:t>(2)供应商之间相互约定，在</w:t>
      </w:r>
      <w:r>
        <w:rPr>
          <w:rFonts w:hint="eastAsia" w:ascii="宋体" w:hAnsi="宋体"/>
          <w:szCs w:val="21"/>
          <w:lang w:eastAsia="zh-CN"/>
        </w:rPr>
        <w:t>谈判</w:t>
      </w:r>
      <w:r>
        <w:rPr>
          <w:rFonts w:hint="eastAsia" w:ascii="宋体" w:hAnsi="宋体"/>
          <w:szCs w:val="21"/>
        </w:rPr>
        <w:t>项目中分别以高、中、低价位报价；</w:t>
      </w:r>
    </w:p>
    <w:p w14:paraId="28A1D6B6">
      <w:pPr>
        <w:spacing w:line="360" w:lineRule="exact"/>
        <w:ind w:firstLine="420" w:firstLineChars="200"/>
        <w:rPr>
          <w:rFonts w:ascii="宋体" w:hAnsi="宋体"/>
          <w:szCs w:val="21"/>
        </w:rPr>
      </w:pPr>
      <w:r>
        <w:rPr>
          <w:rFonts w:hint="eastAsia" w:ascii="宋体" w:hAnsi="宋体"/>
          <w:szCs w:val="21"/>
        </w:rPr>
        <w:t>(3)供应商之间先进行内部竞价，内定成交供应商，然后再参加</w:t>
      </w:r>
      <w:r>
        <w:rPr>
          <w:rFonts w:hint="eastAsia" w:ascii="宋体" w:hAnsi="宋体"/>
          <w:szCs w:val="21"/>
          <w:lang w:eastAsia="zh-CN"/>
        </w:rPr>
        <w:t>谈判</w:t>
      </w:r>
      <w:r>
        <w:rPr>
          <w:rFonts w:hint="eastAsia" w:ascii="宋体" w:hAnsi="宋体"/>
          <w:szCs w:val="21"/>
        </w:rPr>
        <w:t>；</w:t>
      </w:r>
    </w:p>
    <w:p w14:paraId="12EFD26C">
      <w:pPr>
        <w:spacing w:line="360" w:lineRule="exact"/>
        <w:ind w:firstLine="420" w:firstLineChars="200"/>
        <w:rPr>
          <w:rFonts w:ascii="宋体" w:hAnsi="宋体"/>
          <w:szCs w:val="21"/>
        </w:rPr>
      </w:pPr>
      <w:r>
        <w:rPr>
          <w:rFonts w:hint="eastAsia" w:ascii="宋体" w:hAnsi="宋体"/>
          <w:szCs w:val="21"/>
        </w:rPr>
        <w:t>(4)供应商之间其它串通</w:t>
      </w:r>
      <w:r>
        <w:rPr>
          <w:rFonts w:hint="eastAsia" w:ascii="宋体" w:hAnsi="宋体"/>
          <w:szCs w:val="21"/>
          <w:lang w:eastAsia="zh-CN"/>
        </w:rPr>
        <w:t>谈判</w:t>
      </w:r>
      <w:r>
        <w:rPr>
          <w:rFonts w:hint="eastAsia" w:ascii="宋体" w:hAnsi="宋体"/>
          <w:szCs w:val="21"/>
        </w:rPr>
        <w:t>报价的行为。</w:t>
      </w:r>
    </w:p>
    <w:bookmarkEnd w:id="438"/>
    <w:p w14:paraId="093C8F05">
      <w:pPr>
        <w:spacing w:line="360" w:lineRule="exact"/>
        <w:ind w:firstLine="420" w:firstLineChars="200"/>
        <w:rPr>
          <w:rFonts w:hint="eastAsia" w:ascii="宋体" w:hAnsi="宋体" w:cs="Times New Roman"/>
          <w:szCs w:val="21"/>
        </w:rPr>
      </w:pPr>
      <w:bookmarkStart w:id="439" w:name="_Toc261338988"/>
      <w:bookmarkStart w:id="440" w:name="_Toc224358075"/>
      <w:r>
        <w:rPr>
          <w:rFonts w:hint="eastAsia" w:ascii="宋体" w:hAnsi="宋体" w:cs="Times New Roman"/>
          <w:szCs w:val="21"/>
        </w:rPr>
        <w:t>9.3对评审小组成员的纪律要求</w:t>
      </w:r>
      <w:bookmarkEnd w:id="439"/>
    </w:p>
    <w:p w14:paraId="6E7BD90B">
      <w:pPr>
        <w:spacing w:line="360" w:lineRule="exact"/>
        <w:ind w:firstLine="420" w:firstLineChars="200"/>
        <w:rPr>
          <w:rFonts w:ascii="宋体" w:hAnsi="宋体"/>
          <w:szCs w:val="21"/>
        </w:rPr>
      </w:pPr>
      <w:r>
        <w:rPr>
          <w:rFonts w:hint="eastAsia" w:ascii="宋体" w:hAnsi="宋体"/>
          <w:szCs w:val="21"/>
        </w:rPr>
        <w:t>评审小组成员不得收受他人的财物或者其他好处，不得向他人透漏对</w:t>
      </w:r>
      <w:r>
        <w:rPr>
          <w:rFonts w:hint="eastAsia" w:ascii="宋体" w:hAnsi="宋体"/>
          <w:szCs w:val="21"/>
          <w:lang w:eastAsia="zh-CN"/>
        </w:rPr>
        <w:t>响应文件</w:t>
      </w:r>
      <w:r>
        <w:rPr>
          <w:rFonts w:hint="eastAsia" w:ascii="宋体" w:hAnsi="宋体"/>
          <w:szCs w:val="21"/>
        </w:rPr>
        <w:t>的评审和比较、成交供应商的推荐情况以及评审有关的其他情况。在评审活动中，评审小组成员不得擅离职守，影响评审程序正常进行，不得使用“第三章 评审办法”没有规定的评审因素和标准进行评审。</w:t>
      </w:r>
    </w:p>
    <w:bookmarkEnd w:id="440"/>
    <w:p w14:paraId="03B7E9D4">
      <w:pPr>
        <w:spacing w:line="360" w:lineRule="exact"/>
        <w:ind w:firstLine="420" w:firstLineChars="200"/>
        <w:rPr>
          <w:rFonts w:ascii="宋体" w:hAnsi="宋体"/>
          <w:szCs w:val="21"/>
        </w:rPr>
      </w:pPr>
      <w:bookmarkStart w:id="441" w:name="_Toc261338989"/>
      <w:bookmarkStart w:id="442" w:name="_Toc224358076"/>
      <w:r>
        <w:rPr>
          <w:rFonts w:hint="eastAsia" w:ascii="宋体" w:hAnsi="宋体"/>
          <w:szCs w:val="21"/>
        </w:rPr>
        <w:t>9.4对与评审活动有关的工作人员的纪律要求</w:t>
      </w:r>
      <w:bookmarkEnd w:id="441"/>
    </w:p>
    <w:p w14:paraId="1CDC8022">
      <w:pPr>
        <w:spacing w:line="360" w:lineRule="exact"/>
        <w:ind w:firstLine="420" w:firstLineChars="200"/>
        <w:rPr>
          <w:rFonts w:ascii="宋体" w:hAnsi="宋体"/>
          <w:szCs w:val="21"/>
        </w:rPr>
      </w:pPr>
      <w:r>
        <w:rPr>
          <w:rFonts w:hint="eastAsia" w:ascii="宋体" w:hAnsi="宋体"/>
          <w:szCs w:val="21"/>
        </w:rPr>
        <w:t>与评审活动有关的工作人员不得收受他人的财物或者其他好处，不得向他人透漏对</w:t>
      </w:r>
      <w:r>
        <w:rPr>
          <w:rFonts w:hint="eastAsia" w:ascii="宋体" w:hAnsi="宋体"/>
          <w:szCs w:val="21"/>
          <w:lang w:eastAsia="zh-CN"/>
        </w:rPr>
        <w:t>响应文件</w:t>
      </w:r>
      <w:r>
        <w:rPr>
          <w:rFonts w:hint="eastAsia" w:ascii="宋体" w:hAnsi="宋体"/>
          <w:szCs w:val="21"/>
        </w:rPr>
        <w:t>的评审和比较、成交供应商的推荐情况以及评审有关的其他情况。在评审活动中，与评审活动有关的工作人员不得擅离职守，影响评审程序正常进行。</w:t>
      </w:r>
    </w:p>
    <w:bookmarkEnd w:id="442"/>
    <w:p w14:paraId="6E0FFC9D">
      <w:pPr>
        <w:spacing w:line="360" w:lineRule="exact"/>
        <w:ind w:firstLine="420" w:firstLineChars="200"/>
        <w:rPr>
          <w:rFonts w:hint="eastAsia" w:ascii="宋体" w:hAnsi="宋体" w:cs="Times New Roman"/>
          <w:szCs w:val="21"/>
        </w:rPr>
      </w:pPr>
      <w:bookmarkStart w:id="443" w:name="_Toc261338990"/>
      <w:bookmarkStart w:id="444" w:name="_Toc224358077"/>
      <w:r>
        <w:rPr>
          <w:rFonts w:hint="eastAsia" w:ascii="宋体" w:hAnsi="宋体" w:cs="Times New Roman"/>
          <w:szCs w:val="21"/>
        </w:rPr>
        <w:t>9.5投诉</w:t>
      </w:r>
      <w:bookmarkEnd w:id="443"/>
    </w:p>
    <w:p w14:paraId="0C8451DB">
      <w:pPr>
        <w:spacing w:line="360" w:lineRule="exact"/>
        <w:ind w:firstLine="420" w:firstLineChars="200"/>
        <w:rPr>
          <w:rFonts w:ascii="宋体" w:hAnsi="宋体"/>
          <w:szCs w:val="21"/>
        </w:rPr>
      </w:pPr>
      <w:r>
        <w:rPr>
          <w:rFonts w:hint="eastAsia" w:ascii="宋体" w:hAnsi="宋体"/>
          <w:szCs w:val="21"/>
        </w:rPr>
        <w:t>供应商和其他利害关系人认为本次</w:t>
      </w:r>
      <w:r>
        <w:rPr>
          <w:rFonts w:hint="eastAsia" w:ascii="宋体" w:hAnsi="宋体"/>
          <w:szCs w:val="21"/>
          <w:lang w:eastAsia="zh-CN"/>
        </w:rPr>
        <w:t>谈判</w:t>
      </w:r>
      <w:r>
        <w:rPr>
          <w:rFonts w:hint="eastAsia" w:ascii="宋体" w:hAnsi="宋体"/>
          <w:szCs w:val="21"/>
        </w:rPr>
        <w:t>活动违反法律、法规和规章规定的，有权向有关监督部门投诉。</w:t>
      </w:r>
    </w:p>
    <w:bookmarkEnd w:id="444"/>
    <w:p w14:paraId="639E5885">
      <w:pPr>
        <w:spacing w:line="360" w:lineRule="exact"/>
        <w:ind w:firstLine="420" w:firstLineChars="200"/>
        <w:rPr>
          <w:rFonts w:hint="eastAsia" w:ascii="宋体" w:hAnsi="宋体" w:cs="Times New Roman"/>
          <w:szCs w:val="21"/>
        </w:rPr>
      </w:pPr>
      <w:bookmarkStart w:id="445" w:name="_Toc385422109"/>
      <w:bookmarkStart w:id="446" w:name="_Toc8729"/>
      <w:bookmarkStart w:id="447" w:name="_Toc280346290"/>
      <w:bookmarkStart w:id="448" w:name="_Toc261338991"/>
      <w:bookmarkStart w:id="449" w:name="_Toc301532968"/>
      <w:r>
        <w:rPr>
          <w:rFonts w:hint="eastAsia" w:ascii="宋体" w:hAnsi="宋体" w:cs="Times New Roman"/>
          <w:szCs w:val="21"/>
        </w:rPr>
        <w:t>10.需要补充的其他内容</w:t>
      </w:r>
      <w:bookmarkEnd w:id="445"/>
      <w:bookmarkEnd w:id="446"/>
      <w:bookmarkEnd w:id="447"/>
      <w:bookmarkEnd w:id="448"/>
      <w:bookmarkEnd w:id="449"/>
    </w:p>
    <w:p w14:paraId="264554D5">
      <w:pPr>
        <w:spacing w:line="360" w:lineRule="exact"/>
        <w:ind w:firstLine="420" w:firstLineChars="200"/>
        <w:rPr>
          <w:rFonts w:ascii="宋体" w:hAnsi="宋体"/>
          <w:b/>
          <w:sz w:val="24"/>
        </w:rPr>
      </w:pPr>
      <w:r>
        <w:rPr>
          <w:rFonts w:hint="eastAsia" w:ascii="宋体" w:hAnsi="宋体"/>
          <w:kern w:val="0"/>
          <w:szCs w:val="21"/>
        </w:rPr>
        <w:t>见供应商须知前附表。</w:t>
      </w:r>
    </w:p>
    <w:p w14:paraId="10079682">
      <w:pPr>
        <w:spacing w:line="400" w:lineRule="exact"/>
        <w:ind w:firstLine="420" w:firstLineChars="200"/>
        <w:rPr>
          <w:rFonts w:ascii="Times New Roman" w:hAnsi="Times New Roman"/>
        </w:rPr>
      </w:pPr>
      <w:r>
        <w:rPr>
          <w:rFonts w:ascii="Times New Roman" w:hAnsi="Times New Roman"/>
        </w:rPr>
        <w:br w:type="page"/>
      </w:r>
    </w:p>
    <w:p w14:paraId="32D652C5">
      <w:pPr>
        <w:rPr>
          <w:rFonts w:ascii="宋体" w:hAnsi="宋体"/>
        </w:rPr>
      </w:pPr>
      <w:bookmarkStart w:id="450" w:name="_Toc80884511"/>
      <w:r>
        <w:rPr>
          <w:rFonts w:hint="eastAsia" w:ascii="宋体" w:hAnsi="宋体"/>
        </w:rPr>
        <w:t>附件一：</w:t>
      </w:r>
    </w:p>
    <w:p w14:paraId="76BC9C3F">
      <w:pPr>
        <w:spacing w:line="480" w:lineRule="auto"/>
        <w:jc w:val="center"/>
        <w:rPr>
          <w:rFonts w:ascii="宋体" w:hAnsi="宋体"/>
          <w:b/>
        </w:rPr>
      </w:pPr>
      <w:r>
        <w:rPr>
          <w:rFonts w:hint="eastAsia" w:ascii="宋体" w:hAnsi="宋体" w:cs="Times New Roman"/>
          <w:b/>
          <w:lang w:eastAsia="zh-CN"/>
        </w:rPr>
        <w:t>竞争谈判</w:t>
      </w:r>
      <w:r>
        <w:rPr>
          <w:rFonts w:hint="eastAsia" w:ascii="宋体" w:hAnsi="宋体"/>
          <w:b/>
          <w:lang w:eastAsia="zh-CN"/>
        </w:rPr>
        <w:t>文件</w:t>
      </w:r>
      <w:r>
        <w:rPr>
          <w:rFonts w:hint="eastAsia" w:ascii="宋体" w:hAnsi="宋体"/>
          <w:b/>
        </w:rPr>
        <w:t>澄清申请函</w:t>
      </w:r>
    </w:p>
    <w:p w14:paraId="460EA370">
      <w:pPr>
        <w:spacing w:line="480" w:lineRule="auto"/>
        <w:jc w:val="center"/>
        <w:rPr>
          <w:rFonts w:ascii="宋体" w:hAnsi="宋体"/>
        </w:rPr>
      </w:pPr>
      <w:r>
        <w:rPr>
          <w:rFonts w:hint="eastAsia" w:ascii="宋体" w:hAnsi="宋体"/>
        </w:rPr>
        <w:t>编号：</w:t>
      </w:r>
    </w:p>
    <w:p w14:paraId="1328FCB8">
      <w:pPr>
        <w:adjustRightInd w:val="0"/>
        <w:snapToGrid w:val="0"/>
        <w:spacing w:line="480" w:lineRule="auto"/>
        <w:rPr>
          <w:rFonts w:ascii="宋体" w:hAnsi="宋体"/>
          <w:szCs w:val="21"/>
        </w:rPr>
      </w:pPr>
    </w:p>
    <w:p w14:paraId="5C7A0016">
      <w:pPr>
        <w:adjustRightInd w:val="0"/>
        <w:snapToGrid w:val="0"/>
        <w:spacing w:line="480" w:lineRule="auto"/>
        <w:rPr>
          <w:rFonts w:ascii="宋体" w:hAnsi="宋体"/>
          <w:szCs w:val="21"/>
        </w:rPr>
      </w:pPr>
      <w:r>
        <w:rPr>
          <w:rFonts w:hint="eastAsia" w:ascii="宋体" w:hAnsi="宋体"/>
          <w:szCs w:val="21"/>
        </w:rPr>
        <w:t>（采购人名称）：</w:t>
      </w:r>
    </w:p>
    <w:p w14:paraId="728A22DB">
      <w:pPr>
        <w:adjustRightInd w:val="0"/>
        <w:snapToGrid w:val="0"/>
        <w:spacing w:line="480" w:lineRule="auto"/>
        <w:ind w:firstLine="420" w:firstLineChars="200"/>
        <w:rPr>
          <w:rFonts w:ascii="宋体" w:hAnsi="宋体"/>
          <w:szCs w:val="21"/>
        </w:rPr>
      </w:pPr>
      <w:r>
        <w:rPr>
          <w:rFonts w:hint="eastAsia" w:ascii="宋体" w:hAnsi="宋体"/>
          <w:szCs w:val="21"/>
        </w:rPr>
        <w:t>经过仔细阅读（项目名称）（标段名称）</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后，我方申请对以下问题予以澄清：</w:t>
      </w:r>
    </w:p>
    <w:p w14:paraId="511A88DB">
      <w:pPr>
        <w:adjustRightInd w:val="0"/>
        <w:snapToGrid w:val="0"/>
        <w:spacing w:line="480" w:lineRule="auto"/>
        <w:ind w:firstLine="420" w:firstLineChars="200"/>
        <w:rPr>
          <w:rFonts w:ascii="宋体" w:hAnsi="宋体"/>
          <w:szCs w:val="21"/>
        </w:rPr>
      </w:pPr>
      <w:r>
        <w:rPr>
          <w:rFonts w:hint="eastAsia" w:ascii="宋体" w:hAnsi="宋体"/>
          <w:szCs w:val="21"/>
        </w:rPr>
        <w:t>1．</w:t>
      </w:r>
      <w:r>
        <w:rPr>
          <w:rFonts w:ascii="宋体" w:hAnsi="宋体"/>
          <w:szCs w:val="21"/>
        </w:rPr>
        <w:t>……</w:t>
      </w:r>
    </w:p>
    <w:p w14:paraId="2AE687E0">
      <w:pPr>
        <w:adjustRightInd w:val="0"/>
        <w:snapToGrid w:val="0"/>
        <w:spacing w:line="480" w:lineRule="auto"/>
        <w:ind w:firstLine="420" w:firstLineChars="200"/>
        <w:rPr>
          <w:rFonts w:ascii="宋体" w:hAnsi="宋体"/>
          <w:szCs w:val="21"/>
        </w:rPr>
      </w:pPr>
      <w:r>
        <w:rPr>
          <w:rFonts w:hint="eastAsia" w:ascii="宋体" w:hAnsi="宋体"/>
          <w:szCs w:val="21"/>
        </w:rPr>
        <w:t>2．</w:t>
      </w:r>
      <w:r>
        <w:rPr>
          <w:rFonts w:ascii="宋体" w:hAnsi="宋体"/>
          <w:szCs w:val="21"/>
        </w:rPr>
        <w:t>……</w:t>
      </w:r>
    </w:p>
    <w:p w14:paraId="2B9DD597">
      <w:pPr>
        <w:adjustRightInd w:val="0"/>
        <w:snapToGrid w:val="0"/>
        <w:spacing w:line="480" w:lineRule="auto"/>
        <w:ind w:firstLine="420" w:firstLineChars="200"/>
        <w:rPr>
          <w:rFonts w:ascii="宋体" w:hAnsi="宋体"/>
          <w:szCs w:val="21"/>
        </w:rPr>
      </w:pPr>
      <w:r>
        <w:rPr>
          <w:rFonts w:ascii="宋体" w:hAnsi="宋体"/>
          <w:szCs w:val="21"/>
        </w:rPr>
        <w:t>……</w:t>
      </w:r>
    </w:p>
    <w:p w14:paraId="685D0140">
      <w:pPr>
        <w:adjustRightInd w:val="0"/>
        <w:snapToGrid w:val="0"/>
        <w:spacing w:line="360" w:lineRule="auto"/>
        <w:rPr>
          <w:rFonts w:ascii="宋体" w:hAnsi="宋体"/>
          <w:szCs w:val="21"/>
        </w:rPr>
      </w:pPr>
    </w:p>
    <w:p w14:paraId="3D3F6C02">
      <w:pPr>
        <w:adjustRightInd w:val="0"/>
        <w:snapToGrid w:val="0"/>
        <w:spacing w:line="360" w:lineRule="auto"/>
        <w:rPr>
          <w:rFonts w:ascii="宋体" w:hAnsi="宋体"/>
          <w:szCs w:val="21"/>
        </w:rPr>
      </w:pPr>
    </w:p>
    <w:p w14:paraId="779F06F4">
      <w:pPr>
        <w:adjustRightInd w:val="0"/>
        <w:snapToGrid w:val="0"/>
        <w:spacing w:line="360" w:lineRule="auto"/>
        <w:rPr>
          <w:rFonts w:ascii="宋体" w:hAnsi="宋体"/>
          <w:szCs w:val="21"/>
        </w:rPr>
      </w:pPr>
    </w:p>
    <w:p w14:paraId="36A56B68">
      <w:pPr>
        <w:pStyle w:val="19"/>
        <w:adjustRightInd w:val="0"/>
        <w:spacing w:line="360" w:lineRule="auto"/>
        <w:ind w:firstLine="3255" w:firstLineChars="1550"/>
        <w:rPr>
          <w:rFonts w:ascii="宋体" w:hAnsi="宋体"/>
          <w:sz w:val="21"/>
          <w:szCs w:val="21"/>
        </w:rPr>
      </w:pPr>
      <w:r>
        <w:rPr>
          <w:rFonts w:hint="eastAsia" w:ascii="宋体" w:hAnsi="宋体"/>
          <w:sz w:val="21"/>
          <w:szCs w:val="21"/>
        </w:rPr>
        <w:t xml:space="preserve">         供应商：（盖单位章）</w:t>
      </w:r>
    </w:p>
    <w:p w14:paraId="6A84FC6F">
      <w:pPr>
        <w:adjustRightInd w:val="0"/>
        <w:snapToGrid w:val="0"/>
        <w:spacing w:line="360" w:lineRule="auto"/>
        <w:rPr>
          <w:rFonts w:ascii="宋体" w:hAnsi="宋体"/>
          <w:szCs w:val="21"/>
        </w:rPr>
      </w:pPr>
    </w:p>
    <w:p w14:paraId="255D3313">
      <w:pPr>
        <w:adjustRightInd w:val="0"/>
        <w:snapToGrid w:val="0"/>
        <w:spacing w:line="360" w:lineRule="auto"/>
        <w:rPr>
          <w:rFonts w:ascii="宋体" w:hAnsi="宋体"/>
          <w:szCs w:val="21"/>
        </w:rPr>
      </w:pPr>
    </w:p>
    <w:p w14:paraId="370A9932">
      <w:pPr>
        <w:wordWrap w:val="0"/>
        <w:adjustRightInd w:val="0"/>
        <w:snapToGrid w:val="0"/>
        <w:spacing w:line="360" w:lineRule="auto"/>
        <w:jc w:val="right"/>
        <w:rPr>
          <w:rFonts w:ascii="宋体" w:hAnsi="宋体"/>
          <w:szCs w:val="21"/>
        </w:rPr>
      </w:pPr>
      <w:r>
        <w:rPr>
          <w:rFonts w:ascii="宋体" w:hAnsi="宋体"/>
          <w:szCs w:val="21"/>
        </w:rPr>
        <w:t>年月日</w:t>
      </w:r>
    </w:p>
    <w:p w14:paraId="71CA63CA">
      <w:pPr>
        <w:adjustRightInd w:val="0"/>
        <w:snapToGrid w:val="0"/>
        <w:spacing w:line="360" w:lineRule="auto"/>
        <w:rPr>
          <w:rFonts w:ascii="宋体" w:hAnsi="宋体"/>
          <w:szCs w:val="21"/>
        </w:rPr>
      </w:pPr>
    </w:p>
    <w:p w14:paraId="23AC2D9D">
      <w:pPr>
        <w:adjustRightInd w:val="0"/>
        <w:snapToGrid w:val="0"/>
        <w:spacing w:line="360" w:lineRule="auto"/>
        <w:rPr>
          <w:rFonts w:ascii="宋体" w:hAnsi="宋体"/>
          <w:szCs w:val="21"/>
        </w:rPr>
      </w:pPr>
    </w:p>
    <w:p w14:paraId="73A0B4FF">
      <w:pPr>
        <w:adjustRightInd w:val="0"/>
        <w:snapToGrid w:val="0"/>
        <w:spacing w:line="360" w:lineRule="auto"/>
        <w:rPr>
          <w:rFonts w:ascii="宋体" w:hAnsi="宋体"/>
          <w:szCs w:val="21"/>
        </w:rPr>
      </w:pPr>
    </w:p>
    <w:p w14:paraId="27AA297C">
      <w:pPr>
        <w:adjustRightInd w:val="0"/>
        <w:snapToGrid w:val="0"/>
        <w:spacing w:line="360" w:lineRule="auto"/>
        <w:rPr>
          <w:rFonts w:ascii="宋体" w:hAnsi="宋体"/>
          <w:szCs w:val="21"/>
        </w:rPr>
      </w:pPr>
    </w:p>
    <w:p w14:paraId="05FCF327">
      <w:pPr>
        <w:adjustRightInd w:val="0"/>
        <w:snapToGrid w:val="0"/>
        <w:spacing w:line="360" w:lineRule="auto"/>
        <w:rPr>
          <w:rFonts w:ascii="宋体" w:hAnsi="宋体"/>
          <w:szCs w:val="21"/>
        </w:rPr>
      </w:pPr>
    </w:p>
    <w:p w14:paraId="4A2B8AC6">
      <w:pPr>
        <w:adjustRightInd w:val="0"/>
        <w:snapToGrid w:val="0"/>
        <w:spacing w:line="360" w:lineRule="auto"/>
        <w:rPr>
          <w:rFonts w:ascii="宋体" w:hAnsi="宋体"/>
          <w:szCs w:val="21"/>
        </w:rPr>
      </w:pPr>
    </w:p>
    <w:p w14:paraId="6E235B74">
      <w:pPr>
        <w:adjustRightInd w:val="0"/>
        <w:snapToGrid w:val="0"/>
        <w:spacing w:line="360" w:lineRule="auto"/>
        <w:rPr>
          <w:rFonts w:ascii="宋体" w:hAnsi="宋体"/>
          <w:szCs w:val="21"/>
        </w:rPr>
      </w:pPr>
    </w:p>
    <w:p w14:paraId="646CB21A">
      <w:pPr>
        <w:adjustRightInd w:val="0"/>
        <w:snapToGrid w:val="0"/>
        <w:spacing w:line="360" w:lineRule="auto"/>
        <w:rPr>
          <w:rFonts w:ascii="宋体" w:hAnsi="宋体"/>
          <w:szCs w:val="21"/>
        </w:rPr>
      </w:pPr>
      <w:r>
        <w:rPr>
          <w:rFonts w:hint="eastAsia" w:ascii="宋体" w:hAnsi="宋体"/>
          <w:szCs w:val="21"/>
        </w:rPr>
        <w:t>注：供应商要求采购人澄清</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有关问题时，适用于本格式。</w:t>
      </w:r>
    </w:p>
    <w:p w14:paraId="30F8FF11">
      <w:pPr>
        <w:rPr>
          <w:rFonts w:ascii="宋体" w:hAnsi="宋体"/>
        </w:rPr>
      </w:pPr>
      <w:r>
        <w:rPr>
          <w:rFonts w:hint="eastAsia" w:ascii="宋体" w:hAnsi="宋体"/>
        </w:rPr>
        <w:br w:type="page"/>
      </w:r>
    </w:p>
    <w:p w14:paraId="35F29411">
      <w:pPr>
        <w:rPr>
          <w:rFonts w:ascii="宋体" w:hAnsi="宋体"/>
        </w:rPr>
      </w:pPr>
      <w:r>
        <w:rPr>
          <w:rFonts w:hint="eastAsia" w:ascii="宋体" w:hAnsi="宋体"/>
        </w:rPr>
        <w:t>附件二：</w:t>
      </w:r>
    </w:p>
    <w:p w14:paraId="0A9DD4B4">
      <w:pPr>
        <w:spacing w:line="480" w:lineRule="auto"/>
        <w:jc w:val="center"/>
        <w:rPr>
          <w:rFonts w:ascii="宋体" w:hAnsi="宋体"/>
        </w:rPr>
      </w:pPr>
      <w:r>
        <w:rPr>
          <w:rFonts w:hint="eastAsia" w:ascii="宋体" w:hAnsi="宋体" w:cs="Times New Roman"/>
          <w:b/>
          <w:lang w:eastAsia="zh-CN"/>
        </w:rPr>
        <w:t>竞争谈判文件</w:t>
      </w:r>
      <w:r>
        <w:rPr>
          <w:rFonts w:hint="eastAsia" w:ascii="宋体" w:hAnsi="宋体"/>
          <w:b/>
        </w:rPr>
        <w:t>澄清通知</w:t>
      </w:r>
    </w:p>
    <w:p w14:paraId="6C7FCB05">
      <w:pPr>
        <w:spacing w:line="480" w:lineRule="auto"/>
        <w:jc w:val="center"/>
        <w:rPr>
          <w:rFonts w:ascii="宋体" w:hAnsi="宋体"/>
        </w:rPr>
      </w:pPr>
      <w:r>
        <w:rPr>
          <w:rFonts w:hint="eastAsia" w:ascii="宋体" w:hAnsi="宋体"/>
        </w:rPr>
        <w:t>编号：</w:t>
      </w:r>
    </w:p>
    <w:p w14:paraId="5A82A3C2">
      <w:pPr>
        <w:adjustRightInd w:val="0"/>
        <w:snapToGrid w:val="0"/>
        <w:spacing w:line="480" w:lineRule="auto"/>
        <w:rPr>
          <w:rFonts w:ascii="宋体" w:hAnsi="宋体"/>
          <w:szCs w:val="21"/>
        </w:rPr>
      </w:pPr>
    </w:p>
    <w:p w14:paraId="4B60FEA3">
      <w:pPr>
        <w:adjustRightInd w:val="0"/>
        <w:snapToGrid w:val="0"/>
        <w:spacing w:line="480" w:lineRule="auto"/>
        <w:rPr>
          <w:rFonts w:ascii="宋体" w:hAnsi="宋体"/>
          <w:szCs w:val="21"/>
        </w:rPr>
      </w:pPr>
      <w:r>
        <w:rPr>
          <w:rFonts w:hint="eastAsia" w:ascii="宋体" w:hAnsi="宋体"/>
          <w:szCs w:val="21"/>
        </w:rPr>
        <w:t>（供应商名称）：</w:t>
      </w:r>
    </w:p>
    <w:p w14:paraId="57994400">
      <w:pPr>
        <w:adjustRightInd w:val="0"/>
        <w:snapToGrid w:val="0"/>
        <w:spacing w:line="480" w:lineRule="auto"/>
        <w:ind w:firstLine="420" w:firstLineChars="200"/>
        <w:rPr>
          <w:rFonts w:ascii="宋体" w:hAnsi="宋体"/>
          <w:szCs w:val="21"/>
        </w:rPr>
      </w:pPr>
      <w:r>
        <w:rPr>
          <w:rFonts w:hint="eastAsia" w:ascii="宋体" w:hAnsi="宋体"/>
          <w:szCs w:val="21"/>
        </w:rPr>
        <w:t>经研究，对（项目名称）（标段名称）</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，作如下澄清：</w:t>
      </w:r>
    </w:p>
    <w:p w14:paraId="1C00B172">
      <w:pPr>
        <w:adjustRightInd w:val="0"/>
        <w:snapToGrid w:val="0"/>
        <w:spacing w:line="480" w:lineRule="auto"/>
        <w:ind w:firstLine="420" w:firstLineChars="200"/>
        <w:rPr>
          <w:rFonts w:ascii="宋体" w:hAnsi="宋体"/>
          <w:szCs w:val="21"/>
        </w:rPr>
      </w:pPr>
      <w:r>
        <w:rPr>
          <w:rFonts w:hint="eastAsia" w:ascii="宋体" w:hAnsi="宋体"/>
          <w:szCs w:val="21"/>
        </w:rPr>
        <w:t>1．</w:t>
      </w:r>
      <w:r>
        <w:rPr>
          <w:rFonts w:ascii="宋体" w:hAnsi="宋体"/>
          <w:szCs w:val="21"/>
        </w:rPr>
        <w:t>……</w:t>
      </w:r>
    </w:p>
    <w:p w14:paraId="2D85475C">
      <w:pPr>
        <w:adjustRightInd w:val="0"/>
        <w:snapToGrid w:val="0"/>
        <w:spacing w:line="480" w:lineRule="auto"/>
        <w:ind w:firstLine="420" w:firstLineChars="200"/>
        <w:rPr>
          <w:rFonts w:ascii="宋体" w:hAnsi="宋体"/>
          <w:szCs w:val="21"/>
        </w:rPr>
      </w:pPr>
      <w:r>
        <w:rPr>
          <w:rFonts w:hint="eastAsia" w:ascii="宋体" w:hAnsi="宋体"/>
          <w:szCs w:val="21"/>
        </w:rPr>
        <w:t>2．</w:t>
      </w:r>
      <w:r>
        <w:rPr>
          <w:rFonts w:ascii="宋体" w:hAnsi="宋体"/>
          <w:szCs w:val="21"/>
        </w:rPr>
        <w:t>……</w:t>
      </w:r>
    </w:p>
    <w:p w14:paraId="4EE3DE6F">
      <w:pPr>
        <w:adjustRightInd w:val="0"/>
        <w:snapToGrid w:val="0"/>
        <w:spacing w:line="480" w:lineRule="auto"/>
        <w:ind w:firstLine="420" w:firstLineChars="200"/>
        <w:rPr>
          <w:rFonts w:ascii="宋体" w:hAnsi="宋体"/>
          <w:szCs w:val="21"/>
        </w:rPr>
      </w:pPr>
      <w:r>
        <w:rPr>
          <w:rFonts w:ascii="宋体" w:hAnsi="宋体"/>
          <w:szCs w:val="21"/>
        </w:rPr>
        <w:t>……</w:t>
      </w:r>
    </w:p>
    <w:p w14:paraId="60B4A6E0">
      <w:pPr>
        <w:adjustRightInd w:val="0"/>
        <w:snapToGrid w:val="0"/>
        <w:spacing w:line="480" w:lineRule="auto"/>
        <w:rPr>
          <w:rFonts w:ascii="宋体" w:hAnsi="宋体"/>
          <w:szCs w:val="21"/>
        </w:rPr>
      </w:pPr>
    </w:p>
    <w:p w14:paraId="154BE6FB">
      <w:pPr>
        <w:adjustRightInd w:val="0"/>
        <w:snapToGrid w:val="0"/>
        <w:spacing w:line="480" w:lineRule="auto"/>
        <w:rPr>
          <w:rFonts w:ascii="宋体" w:hAnsi="宋体"/>
          <w:szCs w:val="21"/>
        </w:rPr>
      </w:pPr>
    </w:p>
    <w:p w14:paraId="08515227">
      <w:pPr>
        <w:adjustRightInd w:val="0"/>
        <w:snapToGrid w:val="0"/>
        <w:spacing w:line="480" w:lineRule="auto"/>
        <w:rPr>
          <w:rFonts w:ascii="宋体" w:hAnsi="宋体"/>
          <w:szCs w:val="21"/>
        </w:rPr>
      </w:pPr>
    </w:p>
    <w:p w14:paraId="59509C62">
      <w:pPr>
        <w:adjustRightInd w:val="0"/>
        <w:snapToGrid w:val="0"/>
        <w:spacing w:line="480" w:lineRule="auto"/>
        <w:ind w:firstLine="420" w:firstLineChars="200"/>
        <w:rPr>
          <w:rFonts w:ascii="宋体" w:hAnsi="宋体"/>
          <w:szCs w:val="21"/>
        </w:rPr>
      </w:pPr>
      <w:r>
        <w:rPr>
          <w:rFonts w:hint="eastAsia" w:ascii="宋体" w:hAnsi="宋体"/>
          <w:szCs w:val="21"/>
        </w:rPr>
        <w:t>请收到本通知书后以书面形式按</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第二章附件四格式在年月日前回复确认，同时采用邮件方式发至。</w:t>
      </w:r>
    </w:p>
    <w:p w14:paraId="42A7210B">
      <w:pPr>
        <w:adjustRightInd w:val="0"/>
        <w:snapToGrid w:val="0"/>
        <w:spacing w:line="480" w:lineRule="auto"/>
        <w:rPr>
          <w:rFonts w:ascii="宋体" w:hAnsi="宋体"/>
          <w:szCs w:val="21"/>
        </w:rPr>
      </w:pPr>
    </w:p>
    <w:p w14:paraId="43647456">
      <w:pPr>
        <w:adjustRightInd w:val="0"/>
        <w:snapToGrid w:val="0"/>
        <w:spacing w:line="480" w:lineRule="auto"/>
        <w:rPr>
          <w:rFonts w:ascii="宋体" w:hAnsi="宋体"/>
          <w:szCs w:val="21"/>
        </w:rPr>
      </w:pPr>
    </w:p>
    <w:p w14:paraId="3DAA86DE">
      <w:pPr>
        <w:pStyle w:val="19"/>
        <w:adjustRightInd w:val="0"/>
        <w:spacing w:line="480" w:lineRule="auto"/>
        <w:ind w:firstLine="3045" w:firstLineChars="1450"/>
        <w:jc w:val="right"/>
        <w:rPr>
          <w:rFonts w:ascii="宋体" w:hAnsi="宋体"/>
          <w:sz w:val="21"/>
          <w:szCs w:val="21"/>
        </w:rPr>
      </w:pPr>
      <w:r>
        <w:rPr>
          <w:rFonts w:hint="eastAsia" w:ascii="宋体" w:hAnsi="宋体"/>
          <w:sz w:val="21"/>
          <w:szCs w:val="21"/>
        </w:rPr>
        <w:t xml:space="preserve">          采购人</w:t>
      </w:r>
      <w:r>
        <w:rPr>
          <w:rFonts w:ascii="宋体" w:hAnsi="宋体"/>
          <w:sz w:val="21"/>
          <w:szCs w:val="21"/>
        </w:rPr>
        <w:t>：（盖单位章）</w:t>
      </w:r>
    </w:p>
    <w:p w14:paraId="5E09E167">
      <w:pPr>
        <w:wordWrap w:val="0"/>
        <w:adjustRightInd w:val="0"/>
        <w:snapToGrid w:val="0"/>
        <w:spacing w:line="480" w:lineRule="auto"/>
        <w:jc w:val="right"/>
        <w:rPr>
          <w:rFonts w:hint="eastAsia" w:ascii="宋体" w:hAnsi="宋体"/>
          <w:szCs w:val="21"/>
        </w:rPr>
      </w:pPr>
      <w:r>
        <w:rPr>
          <w:rFonts w:ascii="宋体" w:hAnsi="宋体"/>
          <w:szCs w:val="21"/>
        </w:rPr>
        <w:t>年月日</w:t>
      </w:r>
      <w:r>
        <w:rPr>
          <w:rFonts w:hint="eastAsia" w:ascii="宋体" w:hAnsi="宋体"/>
          <w:szCs w:val="21"/>
        </w:rPr>
        <w:t xml:space="preserve">             </w:t>
      </w:r>
    </w:p>
    <w:p w14:paraId="2D9FA63D">
      <w:pPr>
        <w:wordWrap w:val="0"/>
        <w:adjustRightInd w:val="0"/>
        <w:snapToGrid w:val="0"/>
        <w:spacing w:line="480" w:lineRule="auto"/>
        <w:rPr>
          <w:rFonts w:ascii="宋体" w:hAnsi="宋体"/>
        </w:rPr>
      </w:pPr>
      <w:r>
        <w:rPr>
          <w:rFonts w:hint="eastAsia" w:ascii="宋体" w:hAnsi="宋体"/>
          <w:szCs w:val="21"/>
        </w:rPr>
        <w:t>注：</w:t>
      </w:r>
      <w:r>
        <w:rPr>
          <w:rFonts w:hint="eastAsia" w:ascii="宋体" w:hAnsi="宋体"/>
        </w:rPr>
        <w:t>采购人对</w:t>
      </w:r>
      <w:r>
        <w:rPr>
          <w:rFonts w:hint="eastAsia" w:ascii="宋体" w:hAnsi="宋体" w:cs="宋体"/>
          <w:szCs w:val="21"/>
          <w:lang w:eastAsia="zh-CN"/>
        </w:rPr>
        <w:t>竞争谈判</w:t>
      </w:r>
      <w:r>
        <w:rPr>
          <w:rFonts w:hint="eastAsia" w:ascii="宋体" w:hAnsi="宋体"/>
          <w:lang w:eastAsia="zh-CN"/>
        </w:rPr>
        <w:t>文件</w:t>
      </w:r>
      <w:r>
        <w:rPr>
          <w:rFonts w:hint="eastAsia" w:ascii="宋体" w:hAnsi="宋体"/>
        </w:rPr>
        <w:t>有关问题澄清时，适用于本格式。采购人可根据需要将附件二与附件三内容合并发出。</w:t>
      </w:r>
    </w:p>
    <w:p w14:paraId="0228A693">
      <w:pPr>
        <w:rPr>
          <w:rFonts w:ascii="宋体" w:hAnsi="宋体"/>
        </w:rPr>
      </w:pPr>
      <w:r>
        <w:rPr>
          <w:rFonts w:ascii="宋体" w:hAnsi="宋体"/>
        </w:rPr>
        <w:br w:type="page"/>
      </w:r>
      <w:r>
        <w:rPr>
          <w:rFonts w:hint="eastAsia" w:ascii="宋体" w:hAnsi="宋体"/>
        </w:rPr>
        <w:t>附件三：</w:t>
      </w:r>
    </w:p>
    <w:p w14:paraId="3098BE6A">
      <w:pPr>
        <w:spacing w:line="360" w:lineRule="auto"/>
        <w:jc w:val="center"/>
        <w:rPr>
          <w:rFonts w:ascii="宋体" w:hAnsi="宋体"/>
          <w:b/>
          <w:szCs w:val="21"/>
        </w:rPr>
      </w:pPr>
      <w:r>
        <w:rPr>
          <w:rFonts w:hint="eastAsia" w:ascii="宋体" w:hAnsi="宋体" w:cs="Times New Roman"/>
          <w:b/>
          <w:lang w:eastAsia="zh-CN"/>
        </w:rPr>
        <w:t>竞争谈判文件</w:t>
      </w:r>
      <w:r>
        <w:rPr>
          <w:rFonts w:hint="eastAsia" w:ascii="宋体" w:hAnsi="宋体"/>
          <w:b/>
        </w:rPr>
        <w:t>修改通知</w:t>
      </w:r>
    </w:p>
    <w:p w14:paraId="6A1E088D">
      <w:pPr>
        <w:spacing w:line="360" w:lineRule="auto"/>
        <w:jc w:val="center"/>
        <w:rPr>
          <w:rFonts w:ascii="宋体" w:hAnsi="宋体"/>
        </w:rPr>
      </w:pPr>
    </w:p>
    <w:p w14:paraId="175EE8DA">
      <w:pPr>
        <w:spacing w:line="360" w:lineRule="auto"/>
        <w:jc w:val="center"/>
        <w:rPr>
          <w:rFonts w:ascii="宋体" w:hAnsi="宋体"/>
        </w:rPr>
      </w:pPr>
      <w:r>
        <w:rPr>
          <w:rFonts w:hint="eastAsia" w:ascii="宋体" w:hAnsi="宋体"/>
        </w:rPr>
        <w:t>编号：</w:t>
      </w:r>
    </w:p>
    <w:p w14:paraId="5952BBCC">
      <w:pPr>
        <w:adjustRightInd w:val="0"/>
        <w:snapToGrid w:val="0"/>
        <w:spacing w:line="480" w:lineRule="auto"/>
        <w:rPr>
          <w:rFonts w:ascii="宋体" w:hAnsi="宋体"/>
          <w:szCs w:val="21"/>
        </w:rPr>
      </w:pPr>
    </w:p>
    <w:p w14:paraId="50462E34">
      <w:pPr>
        <w:adjustRightInd w:val="0"/>
        <w:snapToGrid w:val="0"/>
        <w:spacing w:line="480" w:lineRule="auto"/>
        <w:rPr>
          <w:rFonts w:ascii="宋体" w:hAnsi="宋体"/>
          <w:szCs w:val="21"/>
        </w:rPr>
      </w:pPr>
      <w:r>
        <w:rPr>
          <w:rFonts w:hint="eastAsia" w:ascii="宋体" w:hAnsi="宋体"/>
          <w:szCs w:val="21"/>
        </w:rPr>
        <w:t>（供应商名称）：</w:t>
      </w:r>
    </w:p>
    <w:p w14:paraId="6F188C8F">
      <w:pPr>
        <w:adjustRightInd w:val="0"/>
        <w:snapToGrid w:val="0"/>
        <w:spacing w:line="480" w:lineRule="auto"/>
        <w:ind w:firstLine="420" w:firstLineChars="200"/>
        <w:rPr>
          <w:rFonts w:ascii="宋体" w:hAnsi="宋体"/>
          <w:szCs w:val="21"/>
        </w:rPr>
      </w:pPr>
      <w:r>
        <w:rPr>
          <w:rFonts w:hint="eastAsia" w:ascii="宋体" w:hAnsi="宋体"/>
          <w:szCs w:val="21"/>
        </w:rPr>
        <w:t>经研究，对（项目名称）（标段名称）</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，作如下修改：</w:t>
      </w:r>
    </w:p>
    <w:p w14:paraId="3CC80F34">
      <w:pPr>
        <w:adjustRightInd w:val="0"/>
        <w:snapToGrid w:val="0"/>
        <w:spacing w:line="480" w:lineRule="auto"/>
        <w:ind w:firstLine="420" w:firstLineChars="200"/>
        <w:rPr>
          <w:rFonts w:ascii="宋体" w:hAnsi="宋体"/>
          <w:szCs w:val="21"/>
        </w:rPr>
      </w:pPr>
      <w:r>
        <w:rPr>
          <w:rFonts w:hint="eastAsia" w:ascii="宋体" w:hAnsi="宋体"/>
          <w:szCs w:val="21"/>
        </w:rPr>
        <w:t>1．</w:t>
      </w:r>
      <w:r>
        <w:rPr>
          <w:rFonts w:ascii="宋体" w:hAnsi="宋体"/>
          <w:szCs w:val="21"/>
        </w:rPr>
        <w:t>……</w:t>
      </w:r>
    </w:p>
    <w:p w14:paraId="7FF311D3">
      <w:pPr>
        <w:adjustRightInd w:val="0"/>
        <w:snapToGrid w:val="0"/>
        <w:spacing w:line="480" w:lineRule="auto"/>
        <w:ind w:firstLine="420" w:firstLineChars="200"/>
        <w:rPr>
          <w:rFonts w:ascii="宋体" w:hAnsi="宋体"/>
          <w:szCs w:val="21"/>
        </w:rPr>
      </w:pPr>
      <w:r>
        <w:rPr>
          <w:rFonts w:hint="eastAsia" w:ascii="宋体" w:hAnsi="宋体"/>
          <w:szCs w:val="21"/>
        </w:rPr>
        <w:t>2．</w:t>
      </w:r>
      <w:r>
        <w:rPr>
          <w:rFonts w:ascii="宋体" w:hAnsi="宋体"/>
          <w:szCs w:val="21"/>
        </w:rPr>
        <w:t>……</w:t>
      </w:r>
    </w:p>
    <w:p w14:paraId="1997C6E4">
      <w:pPr>
        <w:adjustRightInd w:val="0"/>
        <w:snapToGrid w:val="0"/>
        <w:spacing w:line="480" w:lineRule="auto"/>
        <w:ind w:firstLine="420" w:firstLineChars="200"/>
        <w:rPr>
          <w:rFonts w:ascii="宋体" w:hAnsi="宋体"/>
          <w:szCs w:val="21"/>
        </w:rPr>
      </w:pPr>
      <w:r>
        <w:rPr>
          <w:rFonts w:ascii="宋体" w:hAnsi="宋体"/>
          <w:szCs w:val="21"/>
        </w:rPr>
        <w:t>……</w:t>
      </w:r>
    </w:p>
    <w:p w14:paraId="6F48F114">
      <w:pPr>
        <w:adjustRightInd w:val="0"/>
        <w:snapToGrid w:val="0"/>
        <w:spacing w:line="480" w:lineRule="auto"/>
        <w:rPr>
          <w:rFonts w:ascii="宋体" w:hAnsi="宋体"/>
          <w:szCs w:val="21"/>
        </w:rPr>
      </w:pPr>
    </w:p>
    <w:p w14:paraId="3BF3D59C">
      <w:pPr>
        <w:adjustRightInd w:val="0"/>
        <w:snapToGrid w:val="0"/>
        <w:spacing w:line="480" w:lineRule="auto"/>
        <w:ind w:firstLine="420" w:firstLineChars="200"/>
        <w:rPr>
          <w:rFonts w:ascii="宋体" w:hAnsi="宋体"/>
          <w:szCs w:val="21"/>
        </w:rPr>
      </w:pPr>
    </w:p>
    <w:p w14:paraId="76B7258E">
      <w:pPr>
        <w:adjustRightInd w:val="0"/>
        <w:snapToGrid w:val="0"/>
        <w:spacing w:line="480" w:lineRule="auto"/>
        <w:ind w:firstLine="420" w:firstLineChars="200"/>
        <w:rPr>
          <w:rFonts w:ascii="宋体" w:hAnsi="宋体"/>
          <w:szCs w:val="21"/>
        </w:rPr>
      </w:pPr>
    </w:p>
    <w:p w14:paraId="4E95D1BE">
      <w:pPr>
        <w:adjustRightInd w:val="0"/>
        <w:snapToGrid w:val="0"/>
        <w:spacing w:line="480" w:lineRule="auto"/>
        <w:ind w:firstLine="420" w:firstLineChars="200"/>
        <w:rPr>
          <w:rFonts w:ascii="宋体" w:hAnsi="宋体"/>
          <w:szCs w:val="21"/>
        </w:rPr>
      </w:pPr>
      <w:r>
        <w:rPr>
          <w:rFonts w:hint="eastAsia" w:ascii="宋体" w:hAnsi="宋体"/>
          <w:szCs w:val="21"/>
        </w:rPr>
        <w:t>请收到本通知书后以书面形式按</w:t>
      </w:r>
      <w:r>
        <w:rPr>
          <w:rFonts w:hint="eastAsia" w:ascii="宋体" w:hAnsi="宋体" w:cs="宋体"/>
          <w:szCs w:val="21"/>
          <w:lang w:eastAsia="zh-CN"/>
        </w:rPr>
        <w:t>竞争谈判</w:t>
      </w:r>
      <w:r>
        <w:rPr>
          <w:rFonts w:hint="eastAsia" w:ascii="宋体" w:hAnsi="宋体"/>
          <w:szCs w:val="21"/>
          <w:lang w:eastAsia="zh-CN"/>
        </w:rPr>
        <w:t>文件</w:t>
      </w:r>
      <w:r>
        <w:rPr>
          <w:rFonts w:hint="eastAsia" w:ascii="宋体" w:hAnsi="宋体"/>
          <w:szCs w:val="21"/>
        </w:rPr>
        <w:t>第二章附件四格式在年月日前回复确认，同时采用邮件方式发至。</w:t>
      </w:r>
    </w:p>
    <w:p w14:paraId="4CEDDD65">
      <w:pPr>
        <w:adjustRightInd w:val="0"/>
        <w:snapToGrid w:val="0"/>
        <w:spacing w:line="480" w:lineRule="auto"/>
        <w:rPr>
          <w:rFonts w:ascii="宋体" w:hAnsi="宋体"/>
          <w:szCs w:val="21"/>
        </w:rPr>
      </w:pPr>
    </w:p>
    <w:p w14:paraId="3D152997">
      <w:pPr>
        <w:adjustRightInd w:val="0"/>
        <w:snapToGrid w:val="0"/>
        <w:spacing w:line="480" w:lineRule="auto"/>
        <w:rPr>
          <w:rFonts w:ascii="宋体" w:hAnsi="宋体"/>
          <w:szCs w:val="21"/>
        </w:rPr>
      </w:pPr>
    </w:p>
    <w:p w14:paraId="01838AD5">
      <w:pPr>
        <w:pStyle w:val="19"/>
        <w:adjustRightInd w:val="0"/>
        <w:spacing w:line="480" w:lineRule="auto"/>
        <w:ind w:firstLine="3045" w:firstLineChars="1450"/>
        <w:rPr>
          <w:rFonts w:ascii="宋体" w:hAnsi="宋体"/>
          <w:szCs w:val="21"/>
        </w:rPr>
      </w:pPr>
      <w:r>
        <w:rPr>
          <w:rFonts w:hint="eastAsia" w:ascii="宋体" w:hAnsi="宋体"/>
          <w:sz w:val="21"/>
          <w:szCs w:val="21"/>
        </w:rPr>
        <w:t xml:space="preserve">           采购人</w:t>
      </w:r>
      <w:r>
        <w:rPr>
          <w:rFonts w:ascii="宋体" w:hAnsi="宋体"/>
          <w:sz w:val="21"/>
          <w:szCs w:val="21"/>
        </w:rPr>
        <w:t>：（盖单位章）</w:t>
      </w:r>
    </w:p>
    <w:p w14:paraId="260232CC">
      <w:pPr>
        <w:wordWrap w:val="0"/>
        <w:adjustRightInd w:val="0"/>
        <w:snapToGrid w:val="0"/>
        <w:spacing w:line="480" w:lineRule="auto"/>
        <w:jc w:val="right"/>
        <w:rPr>
          <w:rFonts w:ascii="宋体" w:hAnsi="宋体"/>
          <w:szCs w:val="21"/>
        </w:rPr>
      </w:pPr>
      <w:r>
        <w:rPr>
          <w:rFonts w:ascii="宋体" w:hAnsi="宋体"/>
          <w:szCs w:val="21"/>
        </w:rPr>
        <w:t>年</w:t>
      </w:r>
      <w:r>
        <w:rPr>
          <w:rFonts w:hint="eastAsia" w:ascii="宋体" w:hAnsi="宋体"/>
          <w:szCs w:val="21"/>
          <w:lang w:val="en-US" w:eastAsia="zh-CN"/>
        </w:rPr>
        <w:t xml:space="preserve">  </w:t>
      </w:r>
      <w:r>
        <w:rPr>
          <w:rFonts w:ascii="宋体" w:hAnsi="宋体"/>
          <w:szCs w:val="21"/>
        </w:rPr>
        <w:t>月</w:t>
      </w:r>
      <w:r>
        <w:rPr>
          <w:rFonts w:hint="eastAsia" w:ascii="宋体" w:hAnsi="宋体"/>
          <w:szCs w:val="21"/>
          <w:lang w:val="en-US" w:eastAsia="zh-CN"/>
        </w:rPr>
        <w:t xml:space="preserve">  </w:t>
      </w:r>
      <w:r>
        <w:rPr>
          <w:rFonts w:ascii="宋体" w:hAnsi="宋体"/>
          <w:szCs w:val="21"/>
        </w:rPr>
        <w:t>日</w:t>
      </w:r>
    </w:p>
    <w:p w14:paraId="001AB4D9">
      <w:pPr>
        <w:rPr>
          <w:rFonts w:ascii="宋体" w:hAnsi="宋体"/>
        </w:rPr>
      </w:pPr>
      <w:r>
        <w:rPr>
          <w:rFonts w:hint="eastAsia" w:ascii="宋体" w:hAnsi="宋体"/>
          <w:szCs w:val="21"/>
        </w:rPr>
        <w:t>注：</w:t>
      </w:r>
      <w:r>
        <w:rPr>
          <w:rFonts w:hint="eastAsia" w:ascii="宋体" w:hAnsi="宋体"/>
        </w:rPr>
        <w:t>采购人对</w:t>
      </w:r>
      <w:r>
        <w:rPr>
          <w:rFonts w:hint="eastAsia" w:ascii="宋体" w:hAnsi="宋体" w:cs="宋体"/>
          <w:szCs w:val="21"/>
          <w:lang w:eastAsia="zh-CN"/>
        </w:rPr>
        <w:t>竞争谈判</w:t>
      </w:r>
      <w:r>
        <w:rPr>
          <w:rFonts w:hint="eastAsia" w:ascii="宋体" w:hAnsi="宋体"/>
          <w:lang w:eastAsia="zh-CN"/>
        </w:rPr>
        <w:t>文件</w:t>
      </w:r>
      <w:r>
        <w:rPr>
          <w:rFonts w:hint="eastAsia" w:ascii="宋体" w:hAnsi="宋体"/>
        </w:rPr>
        <w:t>修改时，适用于本格式。</w:t>
      </w:r>
      <w:r>
        <w:rPr>
          <w:rFonts w:ascii="宋体" w:hAnsi="宋体"/>
        </w:rPr>
        <w:br w:type="page"/>
      </w:r>
    </w:p>
    <w:p w14:paraId="07927139">
      <w:pPr>
        <w:rPr>
          <w:rFonts w:ascii="宋体" w:hAnsi="宋体"/>
        </w:rPr>
      </w:pPr>
      <w:r>
        <w:rPr>
          <w:rFonts w:hint="eastAsia" w:ascii="宋体" w:hAnsi="宋体"/>
        </w:rPr>
        <w:t>附件</w:t>
      </w:r>
      <w:r>
        <w:rPr>
          <w:rFonts w:hint="eastAsia" w:ascii="宋体" w:hAnsi="宋体"/>
          <w:lang w:val="en-US" w:eastAsia="zh-CN"/>
        </w:rPr>
        <w:t>四</w:t>
      </w:r>
      <w:r>
        <w:rPr>
          <w:rFonts w:hint="eastAsia" w:ascii="宋体" w:hAnsi="宋体"/>
        </w:rPr>
        <w:t>：</w:t>
      </w:r>
    </w:p>
    <w:p w14:paraId="74F7293D">
      <w:pPr>
        <w:spacing w:line="400" w:lineRule="exact"/>
        <w:rPr>
          <w:rFonts w:ascii="宋体" w:hAnsi="宋体"/>
        </w:rPr>
      </w:pPr>
    </w:p>
    <w:p w14:paraId="76909C4F">
      <w:pPr>
        <w:spacing w:line="360" w:lineRule="auto"/>
        <w:jc w:val="center"/>
        <w:rPr>
          <w:rFonts w:ascii="宋体" w:hAnsi="宋体"/>
          <w:b/>
        </w:rPr>
      </w:pPr>
      <w:r>
        <w:rPr>
          <w:rFonts w:hint="eastAsia" w:ascii="宋体" w:hAnsi="宋体"/>
          <w:b/>
          <w:lang w:val="en-US" w:eastAsia="zh-CN"/>
        </w:rPr>
        <w:t>成交</w:t>
      </w:r>
      <w:r>
        <w:rPr>
          <w:rFonts w:hint="eastAsia" w:ascii="宋体" w:hAnsi="宋体"/>
          <w:b/>
        </w:rPr>
        <w:t>通知书</w:t>
      </w:r>
    </w:p>
    <w:p w14:paraId="5EB79FD9">
      <w:pPr>
        <w:spacing w:line="360" w:lineRule="auto"/>
        <w:jc w:val="center"/>
        <w:rPr>
          <w:rFonts w:ascii="宋体" w:hAnsi="宋体"/>
        </w:rPr>
      </w:pPr>
    </w:p>
    <w:p w14:paraId="018634CE">
      <w:pPr>
        <w:adjustRightInd w:val="0"/>
        <w:snapToGrid w:val="0"/>
        <w:spacing w:line="480" w:lineRule="auto"/>
        <w:rPr>
          <w:rFonts w:ascii="宋体" w:hAnsi="宋体"/>
          <w:szCs w:val="21"/>
        </w:rPr>
      </w:pPr>
      <w:r>
        <w:rPr>
          <w:rFonts w:ascii="宋体" w:hAnsi="宋体"/>
          <w:szCs w:val="21"/>
        </w:rPr>
        <w:t>（</w:t>
      </w:r>
      <w:r>
        <w:rPr>
          <w:rFonts w:hint="eastAsia" w:ascii="宋体" w:hAnsi="宋体"/>
          <w:szCs w:val="21"/>
        </w:rPr>
        <w:t>成交供应商</w:t>
      </w:r>
      <w:r>
        <w:rPr>
          <w:rFonts w:ascii="宋体" w:hAnsi="宋体"/>
          <w:szCs w:val="21"/>
        </w:rPr>
        <w:t>名称）：</w:t>
      </w:r>
    </w:p>
    <w:p w14:paraId="64131BB2">
      <w:pPr>
        <w:adjustRightInd w:val="0"/>
        <w:snapToGrid w:val="0"/>
        <w:spacing w:line="480" w:lineRule="auto"/>
        <w:ind w:firstLine="420" w:firstLineChars="200"/>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我司通过对贵司所递交的</w:t>
      </w:r>
      <w:r>
        <w:rPr>
          <w:rFonts w:hint="eastAsia" w:ascii="宋体" w:hAnsi="宋体" w:eastAsia="宋体" w:cs="Times New Roman"/>
          <w:szCs w:val="21"/>
          <w:lang w:val="en-US" w:eastAsia="zh-CN"/>
        </w:rPr>
        <w:t>（项目名称）</w:t>
      </w:r>
      <w:r>
        <w:rPr>
          <w:rFonts w:hint="default" w:ascii="宋体" w:hAnsi="宋体" w:eastAsia="宋体" w:cs="Times New Roman"/>
          <w:szCs w:val="21"/>
          <w:lang w:val="en-US" w:eastAsia="zh-CN"/>
        </w:rPr>
        <w:t>投标报价文件评审，确定</w:t>
      </w:r>
      <w:r>
        <w:rPr>
          <w:rFonts w:hint="eastAsia" w:ascii="宋体" w:hAnsi="宋体" w:eastAsia="宋体" w:cs="Times New Roman"/>
          <w:szCs w:val="21"/>
          <w:lang w:val="en-US" w:eastAsia="zh-CN"/>
        </w:rPr>
        <w:t>贵司</w:t>
      </w:r>
      <w:r>
        <w:rPr>
          <w:rFonts w:hint="default" w:ascii="宋体" w:hAnsi="宋体" w:eastAsia="宋体" w:cs="Times New Roman"/>
          <w:szCs w:val="21"/>
          <w:lang w:val="en-US" w:eastAsia="zh-CN"/>
        </w:rPr>
        <w:t>为成交供应商，成交不含税总金额为</w:t>
      </w:r>
      <w:r>
        <w:rPr>
          <w:rFonts w:hint="eastAsia" w:ascii="宋体" w:hAnsi="宋体" w:eastAsia="宋体" w:cs="Times New Roman"/>
          <w:szCs w:val="21"/>
          <w:u w:val="single"/>
          <w:lang w:val="en-US" w:eastAsia="zh-CN"/>
        </w:rPr>
        <w:t xml:space="preserve">                 </w:t>
      </w:r>
      <w:r>
        <w:rPr>
          <w:rFonts w:hint="default" w:ascii="宋体" w:hAnsi="宋体" w:eastAsia="宋体" w:cs="Times New Roman"/>
          <w:szCs w:val="21"/>
          <w:lang w:val="en-US" w:eastAsia="zh-CN"/>
        </w:rPr>
        <w:t>元整（大写：</w:t>
      </w:r>
      <w:r>
        <w:rPr>
          <w:rFonts w:hint="eastAsia" w:ascii="宋体" w:hAnsi="宋体" w:eastAsia="宋体" w:cs="Times New Roman"/>
          <w:szCs w:val="21"/>
          <w:u w:val="single"/>
          <w:lang w:val="en-US" w:eastAsia="zh-CN"/>
        </w:rPr>
        <w:t xml:space="preserve">                      </w:t>
      </w:r>
      <w:r>
        <w:rPr>
          <w:rFonts w:hint="default" w:ascii="宋体" w:hAnsi="宋体" w:eastAsia="宋体" w:cs="Times New Roman"/>
          <w:szCs w:val="21"/>
          <w:lang w:val="en-US" w:eastAsia="zh-CN"/>
        </w:rPr>
        <w:t>），</w:t>
      </w:r>
      <w:r>
        <w:rPr>
          <w:rFonts w:hint="eastAsia" w:ascii="宋体" w:hAnsi="宋体" w:eastAsia="宋体" w:cs="Times New Roman"/>
          <w:szCs w:val="21"/>
          <w:lang w:val="en-US" w:eastAsia="zh-CN"/>
        </w:rPr>
        <w:t>增值税税率为</w:t>
      </w:r>
      <w:r>
        <w:rPr>
          <w:rFonts w:hint="eastAsia" w:ascii="宋体" w:hAnsi="宋体" w:eastAsia="宋体" w:cs="Times New Roman"/>
          <w:szCs w:val="21"/>
          <w:u w:val="single"/>
          <w:lang w:val="en-US" w:eastAsia="zh-CN"/>
        </w:rPr>
        <w:t xml:space="preserve">     </w:t>
      </w:r>
      <w:r>
        <w:rPr>
          <w:rFonts w:hint="eastAsia" w:ascii="宋体" w:hAnsi="宋体" w:eastAsia="宋体" w:cs="Times New Roman"/>
          <w:szCs w:val="21"/>
          <w:lang w:val="en-US" w:eastAsia="zh-CN"/>
        </w:rPr>
        <w:t>%。</w:t>
      </w:r>
    </w:p>
    <w:p w14:paraId="1161A6D6">
      <w:pPr>
        <w:adjustRightInd w:val="0"/>
        <w:snapToGrid w:val="0"/>
        <w:spacing w:line="480" w:lineRule="auto"/>
        <w:rPr>
          <w:rFonts w:hint="default" w:ascii="宋体" w:hAnsi="宋体" w:eastAsia="宋体" w:cs="Times New Roman"/>
          <w:szCs w:val="21"/>
          <w:lang w:val="en-US" w:eastAsia="zh-CN"/>
        </w:rPr>
      </w:pPr>
      <w:r>
        <w:rPr>
          <w:rFonts w:hint="default" w:ascii="宋体" w:hAnsi="宋体" w:eastAsia="宋体" w:cs="Times New Roman"/>
          <w:szCs w:val="21"/>
          <w:lang w:val="en-US" w:eastAsia="zh-CN"/>
        </w:rPr>
        <w:t>请贵司于3</w:t>
      </w:r>
      <w:r>
        <w:rPr>
          <w:rFonts w:hint="eastAsia" w:ascii="宋体" w:hAnsi="宋体" w:eastAsia="宋体" w:cs="Times New Roman"/>
          <w:szCs w:val="21"/>
          <w:lang w:val="en-US" w:eastAsia="zh-CN"/>
        </w:rPr>
        <w:t>0天</w:t>
      </w:r>
      <w:r>
        <w:rPr>
          <w:rFonts w:hint="default" w:ascii="宋体" w:hAnsi="宋体" w:eastAsia="宋体" w:cs="Times New Roman"/>
          <w:szCs w:val="21"/>
          <w:lang w:val="en-US" w:eastAsia="zh-CN"/>
        </w:rPr>
        <w:t>内</w:t>
      </w:r>
      <w:r>
        <w:rPr>
          <w:rFonts w:hint="eastAsia" w:ascii="宋体" w:hAnsi="宋体" w:eastAsia="宋体" w:cs="Times New Roman"/>
          <w:szCs w:val="21"/>
          <w:lang w:val="en-US" w:eastAsia="zh-CN"/>
        </w:rPr>
        <w:t>与我司完成合同签订</w:t>
      </w:r>
      <w:r>
        <w:rPr>
          <w:rFonts w:hint="default" w:ascii="宋体" w:hAnsi="宋体" w:eastAsia="宋体" w:cs="Times New Roman"/>
          <w:szCs w:val="21"/>
          <w:lang w:val="en-US" w:eastAsia="zh-CN"/>
        </w:rPr>
        <w:t>，否则视为放弃中标权利。</w:t>
      </w:r>
    </w:p>
    <w:p w14:paraId="1AE87758">
      <w:pPr>
        <w:adjustRightInd w:val="0"/>
        <w:snapToGrid w:val="0"/>
        <w:spacing w:line="480" w:lineRule="auto"/>
        <w:ind w:firstLine="420" w:firstLineChars="200"/>
        <w:rPr>
          <w:rFonts w:hint="default" w:ascii="宋体" w:hAnsi="宋体" w:eastAsia="宋体" w:cs="Times New Roman"/>
          <w:szCs w:val="21"/>
          <w:lang w:val="en-US" w:eastAsia="zh-CN"/>
        </w:rPr>
      </w:pPr>
      <w:r>
        <w:rPr>
          <w:rFonts w:hint="default" w:ascii="宋体" w:hAnsi="宋体" w:eastAsia="宋体" w:cs="Times New Roman"/>
          <w:szCs w:val="21"/>
        </w:rPr>
        <w:t>联系人：</w:t>
      </w:r>
      <w:r>
        <w:rPr>
          <w:rFonts w:hint="eastAsia" w:ascii="宋体" w:hAnsi="宋体" w:eastAsia="宋体" w:cs="Times New Roman"/>
          <w:szCs w:val="21"/>
          <w:lang w:val="en-US" w:eastAsia="zh-CN"/>
        </w:rPr>
        <w:t>胡煜</w:t>
      </w:r>
      <w:r>
        <w:rPr>
          <w:rFonts w:hint="default" w:ascii="宋体" w:hAnsi="宋体" w:eastAsia="宋体" w:cs="Times New Roman"/>
          <w:szCs w:val="21"/>
        </w:rPr>
        <w:t xml:space="preserve">   </w:t>
      </w:r>
      <w:r>
        <w:rPr>
          <w:rFonts w:hint="default" w:ascii="宋体" w:hAnsi="宋体" w:eastAsia="宋体" w:cs="Times New Roman"/>
          <w:szCs w:val="21"/>
          <w:lang w:val="en-US" w:eastAsia="zh-CN"/>
        </w:rPr>
        <w:t xml:space="preserve">   </w:t>
      </w:r>
      <w:r>
        <w:rPr>
          <w:rFonts w:hint="default" w:ascii="宋体" w:hAnsi="宋体" w:eastAsia="宋体" w:cs="Times New Roman"/>
          <w:szCs w:val="21"/>
        </w:rPr>
        <w:t xml:space="preserve"> 联系电话：</w:t>
      </w:r>
      <w:r>
        <w:rPr>
          <w:rFonts w:hint="eastAsia" w:ascii="宋体" w:hAnsi="宋体" w:eastAsia="宋体" w:cs="Times New Roman"/>
          <w:szCs w:val="21"/>
          <w:lang w:val="en-US" w:eastAsia="zh-CN"/>
        </w:rPr>
        <w:t>19923183614</w:t>
      </w:r>
    </w:p>
    <w:p w14:paraId="35E84149">
      <w:pPr>
        <w:adjustRightInd w:val="0"/>
        <w:snapToGrid w:val="0"/>
        <w:spacing w:line="480" w:lineRule="auto"/>
        <w:rPr>
          <w:rFonts w:hint="default" w:ascii="宋体" w:hAnsi="宋体" w:eastAsia="宋体" w:cs="Times New Roman"/>
          <w:szCs w:val="21"/>
        </w:rPr>
      </w:pPr>
      <w:r>
        <w:rPr>
          <w:rFonts w:hint="default" w:ascii="宋体" w:hAnsi="宋体" w:eastAsia="宋体" w:cs="Times New Roman"/>
          <w:szCs w:val="21"/>
        </w:rPr>
        <w:t xml:space="preserve">                </w:t>
      </w:r>
    </w:p>
    <w:p w14:paraId="6A40702D">
      <w:pPr>
        <w:adjustRightInd w:val="0"/>
        <w:snapToGrid w:val="0"/>
        <w:spacing w:line="480" w:lineRule="auto"/>
        <w:rPr>
          <w:rFonts w:hint="default" w:ascii="宋体" w:hAnsi="宋体" w:eastAsia="宋体" w:cs="Times New Roman"/>
          <w:szCs w:val="21"/>
        </w:rPr>
      </w:pPr>
    </w:p>
    <w:p w14:paraId="7D8BB35E">
      <w:pPr>
        <w:adjustRightInd w:val="0"/>
        <w:snapToGrid w:val="0"/>
        <w:spacing w:line="480" w:lineRule="auto"/>
        <w:ind w:firstLine="4620" w:firstLineChars="2200"/>
        <w:rPr>
          <w:rFonts w:hint="default" w:ascii="宋体" w:hAnsi="宋体" w:eastAsia="宋体" w:cs="Times New Roman"/>
          <w:szCs w:val="21"/>
        </w:rPr>
      </w:pPr>
      <w:r>
        <w:rPr>
          <w:rFonts w:hint="eastAsia" w:ascii="宋体" w:hAnsi="宋体" w:eastAsia="宋体" w:cs="Times New Roman"/>
          <w:szCs w:val="21"/>
          <w:lang w:val="en-US" w:eastAsia="zh-CN"/>
        </w:rPr>
        <w:t>采购人：</w:t>
      </w:r>
      <w:r>
        <w:rPr>
          <w:rFonts w:hint="default" w:ascii="宋体" w:hAnsi="宋体" w:eastAsia="宋体" w:cs="Times New Roman"/>
          <w:szCs w:val="21"/>
        </w:rPr>
        <w:t>重庆涪陵聚龙电力有限公司</w:t>
      </w:r>
    </w:p>
    <w:p w14:paraId="111F76E6">
      <w:pPr>
        <w:adjustRightInd w:val="0"/>
        <w:snapToGrid w:val="0"/>
        <w:spacing w:line="480" w:lineRule="auto"/>
        <w:rPr>
          <w:rFonts w:hint="default" w:ascii="宋体" w:hAnsi="宋体" w:eastAsia="宋体" w:cs="Times New Roman"/>
          <w:szCs w:val="21"/>
        </w:rPr>
      </w:pPr>
      <w:r>
        <w:rPr>
          <w:rFonts w:hint="default" w:ascii="宋体" w:hAnsi="宋体" w:eastAsia="宋体" w:cs="Times New Roman"/>
          <w:szCs w:val="21"/>
        </w:rPr>
        <w:t xml:space="preserve">                       </w:t>
      </w:r>
      <w:r>
        <w:rPr>
          <w:rFonts w:hint="eastAsia" w:ascii="宋体" w:hAnsi="宋体" w:eastAsia="宋体" w:cs="Times New Roman"/>
          <w:szCs w:val="21"/>
          <w:lang w:val="en-US" w:eastAsia="zh-CN"/>
        </w:rPr>
        <w:t xml:space="preserve">                      </w:t>
      </w:r>
      <w:r>
        <w:rPr>
          <w:rFonts w:hint="default" w:ascii="宋体" w:hAnsi="宋体" w:eastAsia="宋体" w:cs="Times New Roman"/>
          <w:szCs w:val="21"/>
        </w:rPr>
        <w:t xml:space="preserve">  </w:t>
      </w:r>
      <w:r>
        <w:rPr>
          <w:rFonts w:hint="eastAsia" w:ascii="宋体" w:hAnsi="宋体" w:eastAsia="宋体" w:cs="Times New Roman"/>
          <w:szCs w:val="21"/>
          <w:lang w:val="en-US" w:eastAsia="zh-CN"/>
        </w:rPr>
        <w:t xml:space="preserve">        </w:t>
      </w:r>
      <w:r>
        <w:rPr>
          <w:rFonts w:hint="default" w:ascii="宋体" w:hAnsi="宋体" w:eastAsia="宋体" w:cs="Times New Roman"/>
          <w:szCs w:val="21"/>
        </w:rPr>
        <w:t xml:space="preserve"> 202</w:t>
      </w:r>
      <w:r>
        <w:rPr>
          <w:rFonts w:hint="eastAsia" w:ascii="宋体" w:hAnsi="宋体" w:eastAsia="宋体" w:cs="Times New Roman"/>
          <w:szCs w:val="21"/>
          <w:lang w:val="en-US" w:eastAsia="zh-CN"/>
        </w:rPr>
        <w:t>4</w:t>
      </w:r>
      <w:r>
        <w:rPr>
          <w:rFonts w:hint="default" w:ascii="宋体" w:hAnsi="宋体" w:eastAsia="宋体" w:cs="Times New Roman"/>
          <w:szCs w:val="21"/>
        </w:rPr>
        <w:t>年</w:t>
      </w:r>
      <w:r>
        <w:rPr>
          <w:rFonts w:hint="eastAsia" w:ascii="宋体" w:hAnsi="宋体" w:eastAsia="宋体" w:cs="Times New Roman"/>
          <w:szCs w:val="21"/>
          <w:lang w:val="en-US" w:eastAsia="zh-CN"/>
        </w:rPr>
        <w:t xml:space="preserve">   </w:t>
      </w:r>
      <w:r>
        <w:rPr>
          <w:rFonts w:hint="default" w:ascii="宋体" w:hAnsi="宋体" w:eastAsia="宋体" w:cs="Times New Roman"/>
          <w:szCs w:val="21"/>
        </w:rPr>
        <w:t>月</w:t>
      </w:r>
      <w:r>
        <w:rPr>
          <w:rFonts w:hint="eastAsia" w:ascii="宋体" w:hAnsi="宋体" w:eastAsia="宋体" w:cs="Times New Roman"/>
          <w:szCs w:val="21"/>
          <w:lang w:val="en-US" w:eastAsia="zh-CN"/>
        </w:rPr>
        <w:t xml:space="preserve">   </w:t>
      </w:r>
      <w:r>
        <w:rPr>
          <w:rFonts w:hint="default" w:ascii="宋体" w:hAnsi="宋体" w:eastAsia="宋体" w:cs="Times New Roman"/>
          <w:szCs w:val="21"/>
        </w:rPr>
        <w:t>日</w:t>
      </w:r>
    </w:p>
    <w:p w14:paraId="48BC2508">
      <w:pPr>
        <w:adjustRightInd w:val="0"/>
        <w:snapToGrid w:val="0"/>
        <w:spacing w:line="480" w:lineRule="auto"/>
        <w:rPr>
          <w:rFonts w:ascii="宋体" w:hAnsi="宋体"/>
          <w:szCs w:val="21"/>
        </w:rPr>
      </w:pPr>
    </w:p>
    <w:p w14:paraId="17D84BD0">
      <w:pPr>
        <w:pStyle w:val="99"/>
        <w:rPr>
          <w:rFonts w:ascii="宋体" w:hAnsi="宋体"/>
          <w:szCs w:val="21"/>
        </w:rPr>
      </w:pPr>
    </w:p>
    <w:p w14:paraId="137B55EF">
      <w:pPr>
        <w:pStyle w:val="99"/>
        <w:rPr>
          <w:rFonts w:ascii="宋体" w:hAnsi="宋体"/>
          <w:szCs w:val="21"/>
        </w:rPr>
      </w:pPr>
    </w:p>
    <w:p w14:paraId="59804655">
      <w:pPr>
        <w:pStyle w:val="99"/>
        <w:rPr>
          <w:rFonts w:ascii="宋体" w:hAnsi="宋体"/>
          <w:szCs w:val="21"/>
        </w:rPr>
      </w:pPr>
    </w:p>
    <w:p w14:paraId="4BF43217">
      <w:pPr>
        <w:pStyle w:val="99"/>
        <w:rPr>
          <w:rFonts w:ascii="宋体" w:hAnsi="宋体"/>
          <w:szCs w:val="21"/>
        </w:rPr>
      </w:pPr>
    </w:p>
    <w:p w14:paraId="788E91EB">
      <w:pPr>
        <w:pStyle w:val="3"/>
        <w:spacing w:before="0" w:after="0" w:line="360" w:lineRule="auto"/>
        <w:jc w:val="both"/>
        <w:rPr>
          <w:rFonts w:hint="eastAsia"/>
        </w:rPr>
      </w:pPr>
    </w:p>
    <w:p w14:paraId="09487230">
      <w:pPr>
        <w:rPr>
          <w:rFonts w:hint="eastAsia"/>
        </w:rPr>
      </w:pPr>
    </w:p>
    <w:p w14:paraId="6DD851A2">
      <w:pPr>
        <w:rPr>
          <w:rFonts w:hint="eastAsia"/>
        </w:rPr>
      </w:pPr>
    </w:p>
    <w:p w14:paraId="447173E7">
      <w:pPr>
        <w:rPr>
          <w:rFonts w:hint="eastAsia"/>
        </w:rPr>
      </w:pPr>
    </w:p>
    <w:p w14:paraId="2369AC0D">
      <w:pPr>
        <w:rPr>
          <w:rFonts w:hint="eastAsia"/>
        </w:rPr>
      </w:pPr>
    </w:p>
    <w:p w14:paraId="253C2D8C">
      <w:pPr>
        <w:rPr>
          <w:rFonts w:hint="eastAsia"/>
        </w:rPr>
      </w:pPr>
    </w:p>
    <w:p w14:paraId="442741B3">
      <w:pPr>
        <w:rPr>
          <w:rFonts w:hint="eastAsia"/>
        </w:rPr>
      </w:pPr>
    </w:p>
    <w:p w14:paraId="005C3E53">
      <w:pPr>
        <w:rPr>
          <w:rFonts w:hint="eastAsia"/>
        </w:rPr>
      </w:pPr>
    </w:p>
    <w:p w14:paraId="6B549ED6">
      <w:pPr>
        <w:rPr>
          <w:rFonts w:hint="eastAsia"/>
        </w:rPr>
      </w:pPr>
    </w:p>
    <w:p w14:paraId="0B2F71D3">
      <w:pPr>
        <w:rPr>
          <w:rFonts w:hint="eastAsia"/>
        </w:rPr>
      </w:pPr>
    </w:p>
    <w:p w14:paraId="6FE855BC">
      <w:pPr>
        <w:rPr>
          <w:rFonts w:hint="eastAsia"/>
        </w:rPr>
      </w:pPr>
    </w:p>
    <w:p w14:paraId="4FA90C40">
      <w:pPr>
        <w:rPr>
          <w:rFonts w:hint="eastAsia"/>
        </w:rPr>
      </w:pPr>
    </w:p>
    <w:p w14:paraId="000935FD">
      <w:pPr>
        <w:rPr>
          <w:rFonts w:hint="eastAsia"/>
        </w:rPr>
      </w:pPr>
    </w:p>
    <w:p w14:paraId="3F28F02A">
      <w:pPr>
        <w:rPr>
          <w:rFonts w:hint="eastAsia"/>
        </w:rPr>
      </w:pPr>
    </w:p>
    <w:p w14:paraId="481E4DBF">
      <w:pPr>
        <w:rPr>
          <w:rFonts w:hint="eastAsia"/>
        </w:rPr>
      </w:pPr>
    </w:p>
    <w:p w14:paraId="0A8455BA">
      <w:pPr>
        <w:rPr>
          <w:rFonts w:hint="eastAsia"/>
        </w:rPr>
      </w:pPr>
    </w:p>
    <w:p w14:paraId="2A2C7BE4">
      <w:pPr>
        <w:rPr>
          <w:rFonts w:hint="eastAsia"/>
        </w:rPr>
      </w:pPr>
    </w:p>
    <w:p w14:paraId="2A1FCCC5">
      <w:pPr>
        <w:rPr>
          <w:rFonts w:hint="eastAsia"/>
        </w:rPr>
      </w:pPr>
    </w:p>
    <w:p w14:paraId="5FD7755C">
      <w:pPr>
        <w:pStyle w:val="3"/>
        <w:spacing w:before="0" w:after="0" w:line="360" w:lineRule="auto"/>
        <w:jc w:val="center"/>
      </w:pPr>
      <w:r>
        <w:rPr>
          <w:rFonts w:hint="eastAsia"/>
        </w:rPr>
        <w:t>第三章  评审办法（综合评估法）</w:t>
      </w:r>
      <w:bookmarkEnd w:id="450"/>
    </w:p>
    <w:p w14:paraId="461A0717">
      <w:pPr>
        <w:tabs>
          <w:tab w:val="left" w:pos="210"/>
        </w:tabs>
        <w:adjustRightInd w:val="0"/>
        <w:spacing w:line="360" w:lineRule="exact"/>
        <w:jc w:val="center"/>
        <w:rPr>
          <w:rFonts w:ascii="宋体" w:hAnsi="宋体"/>
          <w:b/>
          <w:bCs/>
          <w:kern w:val="0"/>
          <w:sz w:val="28"/>
          <w:szCs w:val="28"/>
        </w:rPr>
      </w:pPr>
      <w:r>
        <w:rPr>
          <w:rFonts w:hint="eastAsia" w:ascii="宋体" w:hAnsi="宋体"/>
          <w:b/>
          <w:bCs/>
          <w:kern w:val="0"/>
          <w:sz w:val="28"/>
          <w:szCs w:val="28"/>
        </w:rPr>
        <w:t>评审办法前附表</w:t>
      </w:r>
    </w:p>
    <w:tbl>
      <w:tblPr>
        <w:tblStyle w:val="40"/>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26"/>
        <w:gridCol w:w="716"/>
        <w:gridCol w:w="38"/>
        <w:gridCol w:w="1820"/>
        <w:gridCol w:w="5150"/>
      </w:tblGrid>
      <w:tr w14:paraId="45C5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36" w:type="dxa"/>
            <w:gridSpan w:val="2"/>
            <w:vAlign w:val="center"/>
          </w:tcPr>
          <w:p w14:paraId="6C8D5C57">
            <w:pPr>
              <w:spacing w:line="360" w:lineRule="exact"/>
              <w:jc w:val="center"/>
              <w:rPr>
                <w:rFonts w:ascii="宋体" w:hAnsi="宋体" w:cs="宋体"/>
                <w:b/>
                <w:szCs w:val="21"/>
              </w:rPr>
            </w:pPr>
            <w:r>
              <w:rPr>
                <w:rFonts w:hint="eastAsia" w:ascii="宋体" w:hAnsi="宋体" w:cs="宋体"/>
                <w:b/>
                <w:szCs w:val="21"/>
              </w:rPr>
              <w:t>条款号</w:t>
            </w:r>
          </w:p>
        </w:tc>
        <w:tc>
          <w:tcPr>
            <w:tcW w:w="2574" w:type="dxa"/>
            <w:gridSpan w:val="3"/>
            <w:vAlign w:val="center"/>
          </w:tcPr>
          <w:p w14:paraId="2E7CB86B">
            <w:pPr>
              <w:spacing w:line="360" w:lineRule="exact"/>
              <w:jc w:val="center"/>
              <w:rPr>
                <w:rFonts w:ascii="宋体" w:hAnsi="宋体" w:cs="宋体"/>
                <w:b/>
                <w:szCs w:val="21"/>
              </w:rPr>
            </w:pPr>
            <w:r>
              <w:rPr>
                <w:rFonts w:hint="eastAsia" w:ascii="宋体" w:hAnsi="宋体" w:cs="宋体"/>
                <w:b/>
                <w:szCs w:val="21"/>
              </w:rPr>
              <w:t>评审因素</w:t>
            </w:r>
          </w:p>
        </w:tc>
        <w:tc>
          <w:tcPr>
            <w:tcW w:w="5150" w:type="dxa"/>
            <w:vAlign w:val="center"/>
          </w:tcPr>
          <w:p w14:paraId="23C7A37D">
            <w:pPr>
              <w:spacing w:line="360" w:lineRule="exact"/>
              <w:jc w:val="center"/>
              <w:rPr>
                <w:rFonts w:ascii="宋体" w:hAnsi="宋体" w:cs="宋体"/>
                <w:b/>
                <w:szCs w:val="21"/>
              </w:rPr>
            </w:pPr>
            <w:r>
              <w:rPr>
                <w:rFonts w:hint="eastAsia" w:ascii="宋体" w:hAnsi="宋体" w:cs="宋体"/>
                <w:b/>
                <w:szCs w:val="21"/>
              </w:rPr>
              <w:t>评审标准</w:t>
            </w:r>
          </w:p>
        </w:tc>
      </w:tr>
      <w:tr w14:paraId="6D49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6" w:type="dxa"/>
            <w:gridSpan w:val="2"/>
            <w:vAlign w:val="center"/>
          </w:tcPr>
          <w:p w14:paraId="6C57601F">
            <w:pPr>
              <w:spacing w:line="360" w:lineRule="exact"/>
              <w:ind w:left="113" w:right="113"/>
              <w:jc w:val="center"/>
              <w:rPr>
                <w:rFonts w:ascii="宋体" w:hAnsi="宋体" w:cs="宋体"/>
                <w:szCs w:val="21"/>
              </w:rPr>
            </w:pPr>
            <w:r>
              <w:rPr>
                <w:rFonts w:hint="eastAsia" w:ascii="宋体" w:hAnsi="宋体" w:cs="宋体"/>
                <w:szCs w:val="21"/>
              </w:rPr>
              <w:t>1</w:t>
            </w:r>
          </w:p>
        </w:tc>
        <w:tc>
          <w:tcPr>
            <w:tcW w:w="2574" w:type="dxa"/>
            <w:gridSpan w:val="3"/>
            <w:vAlign w:val="center"/>
          </w:tcPr>
          <w:p w14:paraId="6E77D052">
            <w:pPr>
              <w:ind w:left="105" w:leftChars="50"/>
              <w:jc w:val="center"/>
              <w:rPr>
                <w:rFonts w:ascii="宋体" w:hAnsi="宋体" w:cs="宋体"/>
                <w:kern w:val="0"/>
                <w:szCs w:val="21"/>
              </w:rPr>
            </w:pPr>
            <w:r>
              <w:rPr>
                <w:rFonts w:hint="eastAsia" w:ascii="宋体" w:hAnsi="宋体"/>
                <w:szCs w:val="21"/>
              </w:rPr>
              <w:t>成交候选人排序方法</w:t>
            </w:r>
          </w:p>
        </w:tc>
        <w:tc>
          <w:tcPr>
            <w:tcW w:w="5150" w:type="dxa"/>
            <w:vAlign w:val="center"/>
          </w:tcPr>
          <w:p w14:paraId="6EA4EEBA">
            <w:pPr>
              <w:spacing w:line="320" w:lineRule="exact"/>
              <w:rPr>
                <w:rFonts w:ascii="宋体" w:hAnsi="宋体" w:cs="宋体"/>
                <w:kern w:val="0"/>
                <w:szCs w:val="21"/>
              </w:rPr>
            </w:pPr>
            <w:r>
              <w:rPr>
                <w:rFonts w:hint="eastAsia" w:ascii="宋体" w:hAnsi="宋体" w:cs="宋体"/>
                <w:kern w:val="0"/>
                <w:szCs w:val="21"/>
              </w:rPr>
              <w:t>本次评审采用综合评估法。评审小组对满足</w:t>
            </w:r>
            <w:r>
              <w:rPr>
                <w:rFonts w:hint="eastAsia" w:ascii="宋体" w:hAnsi="宋体" w:cs="宋体"/>
                <w:szCs w:val="21"/>
                <w:lang w:eastAsia="zh-CN"/>
              </w:rPr>
              <w:t>竞争谈判</w:t>
            </w:r>
            <w:r>
              <w:rPr>
                <w:rFonts w:hint="eastAsia" w:ascii="宋体" w:hAnsi="宋体" w:cs="宋体"/>
                <w:kern w:val="0"/>
                <w:szCs w:val="21"/>
                <w:lang w:eastAsia="zh-CN"/>
              </w:rPr>
              <w:t>文件</w:t>
            </w:r>
            <w:r>
              <w:rPr>
                <w:rFonts w:hint="eastAsia" w:ascii="宋体" w:hAnsi="宋体" w:cs="宋体"/>
                <w:kern w:val="0"/>
                <w:szCs w:val="21"/>
              </w:rPr>
              <w:t>实质性要求的</w:t>
            </w:r>
            <w:r>
              <w:rPr>
                <w:rFonts w:hint="eastAsia" w:ascii="宋体" w:hAnsi="宋体" w:cs="宋体"/>
                <w:kern w:val="0"/>
                <w:szCs w:val="21"/>
                <w:lang w:eastAsia="zh-CN"/>
              </w:rPr>
              <w:t>响应文件</w:t>
            </w:r>
            <w:r>
              <w:rPr>
                <w:rFonts w:hint="eastAsia" w:ascii="宋体" w:hAnsi="宋体" w:cs="宋体"/>
                <w:kern w:val="0"/>
                <w:szCs w:val="21"/>
              </w:rPr>
              <w:t>，按照本章第3.2款规定的评分标准进行打分，并按得分由高到低顺序推荐成交候选人，但</w:t>
            </w:r>
            <w:r>
              <w:rPr>
                <w:rFonts w:hint="eastAsia" w:ascii="宋体" w:hAnsi="宋体" w:cs="宋体"/>
                <w:kern w:val="0"/>
                <w:szCs w:val="21"/>
                <w:lang w:eastAsia="zh-CN"/>
              </w:rPr>
              <w:t>谈判</w:t>
            </w:r>
            <w:r>
              <w:rPr>
                <w:rFonts w:hint="eastAsia" w:ascii="宋体" w:hAnsi="宋体" w:cs="宋体"/>
                <w:kern w:val="0"/>
                <w:szCs w:val="21"/>
              </w:rPr>
              <w:t>报价低于其成本的除外。综合评分相等时，以</w:t>
            </w:r>
            <w:r>
              <w:rPr>
                <w:rFonts w:hint="eastAsia" w:ascii="宋体" w:hAnsi="宋体" w:cs="宋体"/>
                <w:kern w:val="0"/>
                <w:szCs w:val="21"/>
                <w:lang w:eastAsia="zh-CN"/>
              </w:rPr>
              <w:t>谈判</w:t>
            </w:r>
            <w:r>
              <w:rPr>
                <w:rFonts w:hint="eastAsia" w:ascii="宋体" w:hAnsi="宋体" w:cs="宋体"/>
                <w:kern w:val="0"/>
                <w:szCs w:val="21"/>
              </w:rPr>
              <w:t>报价低的优先；</w:t>
            </w:r>
            <w:r>
              <w:rPr>
                <w:rFonts w:hint="eastAsia" w:ascii="宋体" w:hAnsi="宋体" w:cs="宋体"/>
                <w:spacing w:val="4"/>
                <w:szCs w:val="21"/>
                <w:lang w:eastAsia="zh-CN"/>
              </w:rPr>
              <w:t>谈判</w:t>
            </w:r>
            <w:r>
              <w:rPr>
                <w:rFonts w:hint="eastAsia" w:ascii="宋体" w:hAnsi="宋体" w:cs="宋体"/>
                <w:spacing w:val="4"/>
                <w:szCs w:val="21"/>
              </w:rPr>
              <w:t>报价也相等的，以技术得分高的优先；如果技术得分也相等，由评审小组投票确定成交候选人排名顺序。</w:t>
            </w:r>
          </w:p>
        </w:tc>
      </w:tr>
      <w:tr w14:paraId="662EF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restart"/>
            <w:vAlign w:val="center"/>
          </w:tcPr>
          <w:p w14:paraId="7248184C">
            <w:pPr>
              <w:spacing w:line="360" w:lineRule="exact"/>
              <w:jc w:val="center"/>
              <w:rPr>
                <w:rFonts w:ascii="宋体" w:hAnsi="宋体" w:cs="宋体"/>
                <w:szCs w:val="21"/>
              </w:rPr>
            </w:pPr>
            <w:r>
              <w:rPr>
                <w:rFonts w:hint="eastAsia" w:ascii="宋体" w:hAnsi="宋体" w:cs="宋体"/>
                <w:szCs w:val="21"/>
              </w:rPr>
              <w:t>2.1.1</w:t>
            </w:r>
          </w:p>
        </w:tc>
        <w:tc>
          <w:tcPr>
            <w:tcW w:w="826" w:type="dxa"/>
            <w:vMerge w:val="restart"/>
            <w:textDirection w:val="tbRlV"/>
            <w:vAlign w:val="center"/>
          </w:tcPr>
          <w:p w14:paraId="7D6F8916">
            <w:pPr>
              <w:spacing w:line="360" w:lineRule="exact"/>
              <w:ind w:left="113" w:right="113"/>
              <w:jc w:val="center"/>
              <w:rPr>
                <w:rFonts w:ascii="宋体" w:hAnsi="宋体" w:cs="宋体"/>
                <w:szCs w:val="21"/>
              </w:rPr>
            </w:pPr>
            <w:r>
              <w:rPr>
                <w:rFonts w:hint="eastAsia" w:ascii="宋体" w:hAnsi="宋体" w:cs="宋体"/>
                <w:szCs w:val="21"/>
              </w:rPr>
              <w:t>形式评审标准</w:t>
            </w:r>
          </w:p>
        </w:tc>
        <w:tc>
          <w:tcPr>
            <w:tcW w:w="2574" w:type="dxa"/>
            <w:gridSpan w:val="3"/>
            <w:vAlign w:val="center"/>
          </w:tcPr>
          <w:p w14:paraId="2A9C3978">
            <w:pPr>
              <w:adjustRightInd w:val="0"/>
              <w:snapToGrid w:val="0"/>
              <w:spacing w:line="360" w:lineRule="exact"/>
              <w:jc w:val="center"/>
              <w:rPr>
                <w:rFonts w:ascii="宋体" w:hAnsi="宋体" w:cs="宋体"/>
                <w:kern w:val="0"/>
                <w:szCs w:val="21"/>
              </w:rPr>
            </w:pPr>
            <w:r>
              <w:rPr>
                <w:rFonts w:hint="eastAsia" w:ascii="宋体" w:hAnsi="宋体" w:cs="宋体"/>
                <w:kern w:val="0"/>
                <w:szCs w:val="21"/>
              </w:rPr>
              <w:t>供应商名称</w:t>
            </w:r>
          </w:p>
        </w:tc>
        <w:tc>
          <w:tcPr>
            <w:tcW w:w="5150" w:type="dxa"/>
            <w:vAlign w:val="center"/>
          </w:tcPr>
          <w:p w14:paraId="726F0E9E">
            <w:pPr>
              <w:adjustRightInd w:val="0"/>
              <w:snapToGrid w:val="0"/>
              <w:spacing w:line="360" w:lineRule="exact"/>
              <w:rPr>
                <w:rFonts w:ascii="宋体" w:hAnsi="宋体" w:cs="宋体"/>
                <w:kern w:val="0"/>
                <w:szCs w:val="21"/>
              </w:rPr>
            </w:pPr>
            <w:r>
              <w:rPr>
                <w:rFonts w:hint="eastAsia" w:ascii="宋体" w:hAnsi="宋体" w:cs="宋体"/>
                <w:kern w:val="0"/>
                <w:szCs w:val="21"/>
              </w:rPr>
              <w:t>与营业执照、资质证书一致</w:t>
            </w:r>
          </w:p>
        </w:tc>
      </w:tr>
      <w:tr w14:paraId="4ECC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4C1C6894">
            <w:pPr>
              <w:spacing w:line="360" w:lineRule="exact"/>
              <w:jc w:val="center"/>
              <w:rPr>
                <w:rFonts w:ascii="宋体" w:hAnsi="宋体" w:cs="宋体"/>
                <w:szCs w:val="21"/>
              </w:rPr>
            </w:pPr>
          </w:p>
        </w:tc>
        <w:tc>
          <w:tcPr>
            <w:tcW w:w="826" w:type="dxa"/>
            <w:vMerge w:val="continue"/>
            <w:vAlign w:val="center"/>
          </w:tcPr>
          <w:p w14:paraId="051F282F">
            <w:pPr>
              <w:spacing w:line="360" w:lineRule="exact"/>
              <w:jc w:val="center"/>
              <w:rPr>
                <w:rFonts w:ascii="宋体" w:hAnsi="宋体" w:cs="宋体"/>
                <w:szCs w:val="21"/>
              </w:rPr>
            </w:pPr>
          </w:p>
        </w:tc>
        <w:tc>
          <w:tcPr>
            <w:tcW w:w="2574" w:type="dxa"/>
            <w:gridSpan w:val="3"/>
            <w:vAlign w:val="center"/>
          </w:tcPr>
          <w:p w14:paraId="7E8FA3F9">
            <w:pPr>
              <w:spacing w:line="360" w:lineRule="exact"/>
              <w:jc w:val="center"/>
              <w:rPr>
                <w:rFonts w:ascii="宋体" w:hAnsi="宋体" w:cs="宋体"/>
                <w:szCs w:val="21"/>
              </w:rPr>
            </w:pPr>
            <w:r>
              <w:rPr>
                <w:rFonts w:hint="eastAsia" w:ascii="宋体" w:hAnsi="宋体" w:cs="宋体"/>
                <w:szCs w:val="21"/>
                <w:lang w:eastAsia="zh-CN"/>
              </w:rPr>
              <w:t>谈判</w:t>
            </w:r>
            <w:r>
              <w:rPr>
                <w:rFonts w:hint="eastAsia" w:ascii="宋体" w:hAnsi="宋体" w:cs="宋体"/>
                <w:szCs w:val="21"/>
              </w:rPr>
              <w:t>报价函签字盖章</w:t>
            </w:r>
          </w:p>
        </w:tc>
        <w:tc>
          <w:tcPr>
            <w:tcW w:w="5150" w:type="dxa"/>
            <w:vAlign w:val="center"/>
          </w:tcPr>
          <w:p w14:paraId="5DE763BA">
            <w:pPr>
              <w:adjustRightInd w:val="0"/>
              <w:snapToGrid w:val="0"/>
              <w:spacing w:line="360" w:lineRule="exact"/>
              <w:rPr>
                <w:rFonts w:ascii="宋体" w:hAnsi="宋体" w:cs="宋体"/>
                <w:kern w:val="0"/>
                <w:szCs w:val="21"/>
              </w:rPr>
            </w:pPr>
            <w:r>
              <w:rPr>
                <w:rFonts w:hint="eastAsia" w:ascii="宋体" w:hAnsi="宋体" w:cs="宋体"/>
                <w:kern w:val="0"/>
                <w:szCs w:val="21"/>
              </w:rPr>
              <w:t>有法定代表人或委托代理人签字、加盖单位公章</w:t>
            </w:r>
          </w:p>
        </w:tc>
      </w:tr>
      <w:tr w14:paraId="6EF3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7DCF8108">
            <w:pPr>
              <w:spacing w:line="360" w:lineRule="exact"/>
              <w:jc w:val="center"/>
              <w:rPr>
                <w:rFonts w:ascii="宋体" w:hAnsi="宋体" w:cs="宋体"/>
                <w:szCs w:val="21"/>
              </w:rPr>
            </w:pPr>
          </w:p>
        </w:tc>
        <w:tc>
          <w:tcPr>
            <w:tcW w:w="826" w:type="dxa"/>
            <w:vMerge w:val="continue"/>
            <w:vAlign w:val="center"/>
          </w:tcPr>
          <w:p w14:paraId="273D3EF0">
            <w:pPr>
              <w:spacing w:line="360" w:lineRule="exact"/>
              <w:jc w:val="center"/>
              <w:rPr>
                <w:rFonts w:ascii="宋体" w:hAnsi="宋体" w:cs="宋体"/>
                <w:szCs w:val="21"/>
              </w:rPr>
            </w:pPr>
          </w:p>
        </w:tc>
        <w:tc>
          <w:tcPr>
            <w:tcW w:w="2574" w:type="dxa"/>
            <w:gridSpan w:val="3"/>
            <w:vAlign w:val="center"/>
          </w:tcPr>
          <w:p w14:paraId="3ED9F905">
            <w:pPr>
              <w:spacing w:line="360" w:lineRule="exact"/>
              <w:jc w:val="center"/>
              <w:rPr>
                <w:rFonts w:ascii="宋体" w:hAnsi="宋体" w:cs="宋体"/>
                <w:szCs w:val="21"/>
              </w:rPr>
            </w:pPr>
            <w:r>
              <w:rPr>
                <w:rFonts w:hint="eastAsia" w:ascii="宋体" w:hAnsi="宋体" w:cs="宋体"/>
                <w:szCs w:val="21"/>
                <w:lang w:eastAsia="zh-CN"/>
              </w:rPr>
              <w:t>响应文件</w:t>
            </w:r>
            <w:r>
              <w:rPr>
                <w:rFonts w:hint="eastAsia" w:ascii="宋体" w:hAnsi="宋体" w:cs="宋体"/>
                <w:szCs w:val="21"/>
              </w:rPr>
              <w:t>格式</w:t>
            </w:r>
          </w:p>
        </w:tc>
        <w:tc>
          <w:tcPr>
            <w:tcW w:w="5150" w:type="dxa"/>
            <w:vAlign w:val="center"/>
          </w:tcPr>
          <w:p w14:paraId="7DD9AE43">
            <w:pPr>
              <w:adjustRightInd w:val="0"/>
              <w:snapToGrid w:val="0"/>
              <w:spacing w:line="360" w:lineRule="exact"/>
              <w:rPr>
                <w:rFonts w:ascii="宋体" w:hAnsi="宋体" w:cs="宋体"/>
                <w:kern w:val="0"/>
                <w:szCs w:val="21"/>
              </w:rPr>
            </w:pPr>
            <w:r>
              <w:rPr>
                <w:rFonts w:hint="eastAsia" w:ascii="宋体" w:hAnsi="宋体" w:cs="宋体"/>
                <w:kern w:val="0"/>
                <w:szCs w:val="21"/>
              </w:rPr>
              <w:t>符合第</w:t>
            </w:r>
            <w:r>
              <w:rPr>
                <w:rFonts w:hint="eastAsia" w:ascii="宋体" w:hAnsi="宋体" w:cs="宋体"/>
                <w:kern w:val="0"/>
                <w:szCs w:val="21"/>
                <w:lang w:eastAsia="zh-CN"/>
              </w:rPr>
              <w:t>五</w:t>
            </w:r>
            <w:r>
              <w:rPr>
                <w:rFonts w:hint="eastAsia" w:ascii="宋体" w:hAnsi="宋体" w:cs="宋体"/>
                <w:kern w:val="0"/>
                <w:szCs w:val="21"/>
              </w:rPr>
              <w:t>章“</w:t>
            </w:r>
            <w:r>
              <w:rPr>
                <w:rFonts w:hint="eastAsia" w:ascii="宋体" w:hAnsi="宋体" w:cs="宋体"/>
                <w:kern w:val="0"/>
                <w:szCs w:val="21"/>
                <w:lang w:eastAsia="zh-CN"/>
              </w:rPr>
              <w:t>响应文件</w:t>
            </w:r>
            <w:r>
              <w:rPr>
                <w:rFonts w:hint="eastAsia" w:ascii="宋体" w:hAnsi="宋体" w:cs="宋体"/>
                <w:kern w:val="0"/>
                <w:szCs w:val="21"/>
              </w:rPr>
              <w:t>格式”的要求，字迹清晰可辨。</w:t>
            </w:r>
          </w:p>
          <w:p w14:paraId="5CCB6502">
            <w:pPr>
              <w:spacing w:line="360" w:lineRule="exact"/>
              <w:rPr>
                <w:rFonts w:ascii="宋体" w:hAnsi="宋体" w:cs="宋体"/>
                <w:kern w:val="0"/>
                <w:szCs w:val="21"/>
              </w:rPr>
            </w:pPr>
            <w:r>
              <w:rPr>
                <w:rFonts w:hint="eastAsia" w:ascii="宋体" w:hAnsi="宋体" w:cs="宋体"/>
                <w:kern w:val="0"/>
                <w:szCs w:val="21"/>
              </w:rPr>
              <w:t>1.</w:t>
            </w:r>
            <w:r>
              <w:rPr>
                <w:rFonts w:hint="eastAsia" w:ascii="宋体" w:hAnsi="宋体" w:cs="宋体"/>
                <w:kern w:val="0"/>
                <w:szCs w:val="21"/>
                <w:lang w:eastAsia="zh-CN"/>
              </w:rPr>
              <w:t>谈判</w:t>
            </w:r>
            <w:r>
              <w:rPr>
                <w:rFonts w:hint="eastAsia" w:ascii="宋体" w:hAnsi="宋体" w:cs="宋体"/>
                <w:kern w:val="0"/>
                <w:szCs w:val="21"/>
              </w:rPr>
              <w:t>报价函及附录的所有数据均符合</w:t>
            </w:r>
            <w:r>
              <w:rPr>
                <w:rFonts w:hint="eastAsia" w:ascii="宋体" w:hAnsi="宋体" w:cs="宋体"/>
                <w:szCs w:val="21"/>
                <w:lang w:eastAsia="zh-CN"/>
              </w:rPr>
              <w:t>竞争谈判</w:t>
            </w:r>
            <w:r>
              <w:rPr>
                <w:rFonts w:hint="eastAsia" w:ascii="宋体" w:hAnsi="宋体" w:cs="宋体"/>
                <w:kern w:val="0"/>
                <w:szCs w:val="21"/>
                <w:lang w:eastAsia="zh-CN"/>
              </w:rPr>
              <w:t>文件</w:t>
            </w:r>
            <w:r>
              <w:rPr>
                <w:rFonts w:hint="eastAsia" w:ascii="宋体" w:hAnsi="宋体" w:cs="宋体"/>
                <w:kern w:val="0"/>
                <w:szCs w:val="21"/>
              </w:rPr>
              <w:t>的规定；</w:t>
            </w:r>
          </w:p>
          <w:p w14:paraId="067BC65B">
            <w:pPr>
              <w:adjustRightInd w:val="0"/>
              <w:snapToGrid w:val="0"/>
              <w:spacing w:line="360" w:lineRule="exact"/>
              <w:rPr>
                <w:rFonts w:ascii="宋体" w:hAnsi="宋体" w:cs="宋体"/>
                <w:kern w:val="0"/>
                <w:szCs w:val="21"/>
              </w:rPr>
            </w:pPr>
            <w:r>
              <w:rPr>
                <w:rFonts w:hint="eastAsia" w:ascii="宋体" w:hAnsi="宋体" w:cs="宋体"/>
                <w:kern w:val="0"/>
                <w:szCs w:val="21"/>
              </w:rPr>
              <w:t>2.</w:t>
            </w:r>
            <w:r>
              <w:rPr>
                <w:rFonts w:hint="eastAsia" w:ascii="宋体" w:hAnsi="宋体" w:cs="宋体"/>
                <w:kern w:val="0"/>
                <w:szCs w:val="21"/>
                <w:lang w:eastAsia="zh-CN"/>
              </w:rPr>
              <w:t>响应文件</w:t>
            </w:r>
            <w:r>
              <w:rPr>
                <w:rFonts w:hint="eastAsia" w:ascii="宋体" w:hAnsi="宋体" w:cs="宋体"/>
                <w:kern w:val="0"/>
                <w:szCs w:val="21"/>
              </w:rPr>
              <w:t>附表齐全完整，内容均按规定填写；</w:t>
            </w:r>
          </w:p>
          <w:p w14:paraId="27A6CFEF">
            <w:pPr>
              <w:adjustRightInd w:val="0"/>
              <w:snapToGrid w:val="0"/>
              <w:spacing w:line="360" w:lineRule="exact"/>
              <w:rPr>
                <w:rFonts w:ascii="宋体" w:hAnsi="宋体" w:cs="宋体"/>
                <w:kern w:val="0"/>
                <w:szCs w:val="21"/>
              </w:rPr>
            </w:pPr>
            <w:r>
              <w:rPr>
                <w:rFonts w:hint="eastAsia" w:ascii="宋体" w:hAnsi="宋体" w:cs="宋体"/>
                <w:kern w:val="0"/>
                <w:szCs w:val="21"/>
              </w:rPr>
              <w:t>3.按规定提供了拟投入的主要人员的证件复印件，证件清晰可辨、有效；</w:t>
            </w:r>
          </w:p>
          <w:p w14:paraId="52BCDCE2">
            <w:pPr>
              <w:adjustRightInd w:val="0"/>
              <w:snapToGrid w:val="0"/>
              <w:spacing w:line="360" w:lineRule="exact"/>
              <w:rPr>
                <w:rFonts w:ascii="宋体" w:hAnsi="宋体" w:cs="宋体"/>
                <w:kern w:val="0"/>
                <w:szCs w:val="21"/>
              </w:rPr>
            </w:pPr>
            <w:r>
              <w:rPr>
                <w:rFonts w:hint="eastAsia" w:ascii="宋体" w:hAnsi="宋体" w:cs="宋体"/>
                <w:kern w:val="0"/>
                <w:szCs w:val="21"/>
              </w:rPr>
              <w:t>4.</w:t>
            </w:r>
            <w:r>
              <w:rPr>
                <w:rFonts w:hint="eastAsia" w:ascii="宋体" w:hAnsi="宋体" w:cs="宋体"/>
                <w:kern w:val="0"/>
                <w:szCs w:val="21"/>
                <w:lang w:eastAsia="zh-CN"/>
              </w:rPr>
              <w:t>响应文件</w:t>
            </w:r>
            <w:r>
              <w:rPr>
                <w:rFonts w:hint="eastAsia" w:ascii="宋体" w:hAnsi="宋体" w:cs="宋体"/>
                <w:kern w:val="0"/>
                <w:szCs w:val="21"/>
              </w:rPr>
              <w:t>的装订符合第二章3.7项的规定。</w:t>
            </w:r>
          </w:p>
        </w:tc>
      </w:tr>
      <w:tr w14:paraId="357D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055382E4">
            <w:pPr>
              <w:spacing w:line="360" w:lineRule="exact"/>
              <w:jc w:val="center"/>
              <w:rPr>
                <w:rFonts w:ascii="宋体" w:hAnsi="宋体" w:cs="宋体"/>
                <w:szCs w:val="21"/>
              </w:rPr>
            </w:pPr>
          </w:p>
        </w:tc>
        <w:tc>
          <w:tcPr>
            <w:tcW w:w="826" w:type="dxa"/>
            <w:vMerge w:val="continue"/>
            <w:vAlign w:val="center"/>
          </w:tcPr>
          <w:p w14:paraId="0279CD69">
            <w:pPr>
              <w:spacing w:line="360" w:lineRule="exact"/>
              <w:jc w:val="center"/>
              <w:rPr>
                <w:rFonts w:ascii="宋体" w:hAnsi="宋体" w:cs="宋体"/>
                <w:szCs w:val="21"/>
              </w:rPr>
            </w:pPr>
          </w:p>
        </w:tc>
        <w:tc>
          <w:tcPr>
            <w:tcW w:w="2574" w:type="dxa"/>
            <w:gridSpan w:val="3"/>
            <w:vAlign w:val="center"/>
          </w:tcPr>
          <w:p w14:paraId="7CCE2B60">
            <w:pPr>
              <w:spacing w:line="360" w:lineRule="exact"/>
              <w:jc w:val="center"/>
              <w:rPr>
                <w:rFonts w:ascii="宋体" w:hAnsi="宋体" w:cs="宋体"/>
                <w:szCs w:val="21"/>
              </w:rPr>
            </w:pPr>
            <w:r>
              <w:rPr>
                <w:rFonts w:hint="eastAsia" w:ascii="宋体" w:hAnsi="宋体" w:cs="宋体"/>
                <w:szCs w:val="21"/>
              </w:rPr>
              <w:t>报价唯一</w:t>
            </w:r>
          </w:p>
        </w:tc>
        <w:tc>
          <w:tcPr>
            <w:tcW w:w="5150" w:type="dxa"/>
            <w:vAlign w:val="center"/>
          </w:tcPr>
          <w:p w14:paraId="56EF927E">
            <w:pPr>
              <w:adjustRightInd w:val="0"/>
              <w:snapToGrid w:val="0"/>
              <w:spacing w:line="360" w:lineRule="exact"/>
              <w:jc w:val="left"/>
              <w:rPr>
                <w:rFonts w:ascii="宋体" w:hAnsi="宋体" w:cs="宋体"/>
                <w:kern w:val="0"/>
                <w:szCs w:val="21"/>
              </w:rPr>
            </w:pPr>
            <w:r>
              <w:rPr>
                <w:rFonts w:hint="eastAsia" w:ascii="宋体" w:hAnsi="宋体" w:cs="宋体"/>
                <w:kern w:val="0"/>
                <w:szCs w:val="21"/>
              </w:rPr>
              <w:t>只能有一个有效报价，在</w:t>
            </w:r>
            <w:r>
              <w:rPr>
                <w:rFonts w:hint="eastAsia" w:ascii="宋体" w:hAnsi="宋体" w:cs="宋体"/>
                <w:szCs w:val="21"/>
                <w:lang w:eastAsia="zh-CN"/>
              </w:rPr>
              <w:t>竞争谈判</w:t>
            </w:r>
            <w:r>
              <w:rPr>
                <w:rFonts w:hint="eastAsia" w:ascii="宋体" w:hAnsi="宋体" w:cs="宋体"/>
                <w:kern w:val="0"/>
                <w:szCs w:val="21"/>
                <w:lang w:eastAsia="zh-CN"/>
              </w:rPr>
              <w:t>文件</w:t>
            </w:r>
            <w:r>
              <w:rPr>
                <w:rFonts w:hint="eastAsia" w:ascii="宋体" w:hAnsi="宋体" w:cs="宋体"/>
                <w:kern w:val="0"/>
                <w:szCs w:val="21"/>
              </w:rPr>
              <w:t>没有规定的情况下，不得提交选择性报价。</w:t>
            </w:r>
          </w:p>
        </w:tc>
      </w:tr>
      <w:tr w14:paraId="04691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76A33BBE">
            <w:pPr>
              <w:spacing w:line="360" w:lineRule="exact"/>
              <w:jc w:val="center"/>
              <w:rPr>
                <w:rFonts w:ascii="宋体" w:hAnsi="宋体" w:cs="宋体"/>
                <w:szCs w:val="21"/>
              </w:rPr>
            </w:pPr>
          </w:p>
        </w:tc>
        <w:tc>
          <w:tcPr>
            <w:tcW w:w="826" w:type="dxa"/>
            <w:vMerge w:val="continue"/>
            <w:vAlign w:val="center"/>
          </w:tcPr>
          <w:p w14:paraId="1FD88F2A">
            <w:pPr>
              <w:spacing w:line="360" w:lineRule="exact"/>
              <w:jc w:val="center"/>
              <w:rPr>
                <w:rFonts w:ascii="宋体" w:hAnsi="宋体" w:cs="宋体"/>
                <w:szCs w:val="21"/>
              </w:rPr>
            </w:pPr>
          </w:p>
        </w:tc>
        <w:tc>
          <w:tcPr>
            <w:tcW w:w="2574" w:type="dxa"/>
            <w:gridSpan w:val="3"/>
            <w:vAlign w:val="center"/>
          </w:tcPr>
          <w:p w14:paraId="29A78FE7">
            <w:pPr>
              <w:spacing w:line="360" w:lineRule="exact"/>
              <w:jc w:val="center"/>
              <w:rPr>
                <w:rFonts w:ascii="宋体" w:hAnsi="宋体" w:cs="宋体"/>
                <w:szCs w:val="21"/>
              </w:rPr>
            </w:pPr>
            <w:r>
              <w:rPr>
                <w:rFonts w:hint="eastAsia" w:ascii="宋体" w:hAnsi="宋体" w:cs="宋体"/>
                <w:szCs w:val="21"/>
                <w:lang w:eastAsia="zh-CN"/>
              </w:rPr>
              <w:t>响应文件</w:t>
            </w:r>
            <w:r>
              <w:rPr>
                <w:rFonts w:hint="eastAsia" w:ascii="宋体" w:hAnsi="宋体" w:cs="宋体"/>
                <w:szCs w:val="21"/>
              </w:rPr>
              <w:t>的签署</w:t>
            </w:r>
          </w:p>
        </w:tc>
        <w:tc>
          <w:tcPr>
            <w:tcW w:w="5150" w:type="dxa"/>
            <w:vAlign w:val="center"/>
          </w:tcPr>
          <w:p w14:paraId="5522905A">
            <w:pPr>
              <w:adjustRightInd w:val="0"/>
              <w:snapToGrid w:val="0"/>
              <w:spacing w:line="360" w:lineRule="exact"/>
              <w:jc w:val="left"/>
              <w:rPr>
                <w:rFonts w:ascii="宋体" w:hAnsi="宋体" w:cs="宋体"/>
                <w:kern w:val="0"/>
                <w:szCs w:val="21"/>
              </w:rPr>
            </w:pPr>
            <w:r>
              <w:rPr>
                <w:rFonts w:hint="eastAsia" w:ascii="宋体" w:hAnsi="宋体" w:cs="宋体"/>
                <w:kern w:val="0"/>
                <w:szCs w:val="21"/>
                <w:lang w:eastAsia="zh-CN"/>
              </w:rPr>
              <w:t>响应文件</w:t>
            </w:r>
            <w:r>
              <w:rPr>
                <w:rFonts w:hint="eastAsia" w:ascii="宋体" w:hAnsi="宋体" w:cs="宋体"/>
                <w:kern w:val="0"/>
                <w:szCs w:val="21"/>
              </w:rPr>
              <w:t>上法定代表人或委托代理人签字齐全，符合</w:t>
            </w:r>
            <w:r>
              <w:rPr>
                <w:rFonts w:hint="eastAsia" w:ascii="宋体" w:hAnsi="宋体" w:cs="宋体"/>
                <w:szCs w:val="21"/>
                <w:lang w:eastAsia="zh-CN"/>
              </w:rPr>
              <w:t>竞争谈判</w:t>
            </w:r>
            <w:r>
              <w:rPr>
                <w:rFonts w:hint="eastAsia" w:ascii="宋体" w:hAnsi="宋体" w:cs="宋体"/>
                <w:kern w:val="0"/>
                <w:szCs w:val="21"/>
                <w:lang w:eastAsia="zh-CN"/>
              </w:rPr>
              <w:t>文件</w:t>
            </w:r>
            <w:r>
              <w:rPr>
                <w:rFonts w:hint="eastAsia" w:ascii="宋体" w:hAnsi="宋体" w:cs="宋体"/>
                <w:kern w:val="0"/>
                <w:szCs w:val="21"/>
              </w:rPr>
              <w:t>规定。</w:t>
            </w:r>
          </w:p>
        </w:tc>
      </w:tr>
      <w:tr w14:paraId="76B3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4A664454">
            <w:pPr>
              <w:spacing w:line="360" w:lineRule="exact"/>
              <w:jc w:val="center"/>
              <w:rPr>
                <w:rFonts w:ascii="宋体" w:hAnsi="宋体" w:cs="宋体"/>
                <w:szCs w:val="21"/>
              </w:rPr>
            </w:pPr>
          </w:p>
        </w:tc>
        <w:tc>
          <w:tcPr>
            <w:tcW w:w="826" w:type="dxa"/>
            <w:vMerge w:val="continue"/>
            <w:vAlign w:val="center"/>
          </w:tcPr>
          <w:p w14:paraId="7EB8B4C4">
            <w:pPr>
              <w:spacing w:line="360" w:lineRule="exact"/>
              <w:jc w:val="center"/>
              <w:rPr>
                <w:rFonts w:ascii="宋体" w:hAnsi="宋体" w:cs="宋体"/>
                <w:szCs w:val="21"/>
              </w:rPr>
            </w:pPr>
          </w:p>
        </w:tc>
        <w:tc>
          <w:tcPr>
            <w:tcW w:w="2574" w:type="dxa"/>
            <w:gridSpan w:val="3"/>
            <w:vAlign w:val="center"/>
          </w:tcPr>
          <w:p w14:paraId="5471D0BC">
            <w:pPr>
              <w:spacing w:line="360" w:lineRule="exact"/>
              <w:jc w:val="center"/>
              <w:rPr>
                <w:rFonts w:ascii="宋体" w:hAnsi="宋体" w:cs="宋体"/>
                <w:szCs w:val="21"/>
              </w:rPr>
            </w:pPr>
            <w:r>
              <w:rPr>
                <w:rFonts w:hint="eastAsia" w:ascii="宋体" w:hAnsi="宋体" w:cs="宋体"/>
                <w:szCs w:val="21"/>
              </w:rPr>
              <w:t>委托代理人</w:t>
            </w:r>
          </w:p>
        </w:tc>
        <w:tc>
          <w:tcPr>
            <w:tcW w:w="5150" w:type="dxa"/>
            <w:vAlign w:val="center"/>
          </w:tcPr>
          <w:p w14:paraId="7C0AED4F">
            <w:pPr>
              <w:adjustRightInd w:val="0"/>
              <w:snapToGrid w:val="0"/>
              <w:spacing w:line="360" w:lineRule="exact"/>
              <w:rPr>
                <w:rFonts w:ascii="宋体" w:hAnsi="宋体" w:cs="宋体"/>
                <w:kern w:val="0"/>
                <w:szCs w:val="21"/>
              </w:rPr>
            </w:pPr>
            <w:r>
              <w:rPr>
                <w:rFonts w:hint="eastAsia" w:ascii="宋体" w:hAnsi="宋体" w:cs="宋体"/>
                <w:kern w:val="0"/>
                <w:szCs w:val="21"/>
              </w:rPr>
              <w:t>供应商法定代表人的委托代理人有法定代表人签署的授权委托书和</w:t>
            </w:r>
            <w:r>
              <w:rPr>
                <w:rFonts w:hint="eastAsia" w:ascii="宋体" w:hAnsi="宋体"/>
                <w:szCs w:val="21"/>
              </w:rPr>
              <w:t>养老保险证明</w:t>
            </w:r>
            <w:r>
              <w:rPr>
                <w:rFonts w:hint="eastAsia" w:ascii="宋体" w:hAnsi="宋体" w:cs="宋体"/>
                <w:kern w:val="0"/>
                <w:szCs w:val="21"/>
              </w:rPr>
              <w:t>，且其授权委托书符合</w:t>
            </w:r>
            <w:r>
              <w:rPr>
                <w:rFonts w:hint="eastAsia" w:ascii="宋体" w:hAnsi="宋体" w:cs="宋体"/>
                <w:szCs w:val="21"/>
                <w:lang w:eastAsia="zh-CN"/>
              </w:rPr>
              <w:t>竞争谈判</w:t>
            </w:r>
            <w:r>
              <w:rPr>
                <w:rFonts w:hint="eastAsia" w:ascii="宋体" w:hAnsi="宋体" w:cs="宋体"/>
                <w:kern w:val="0"/>
                <w:szCs w:val="21"/>
                <w:lang w:eastAsia="zh-CN"/>
              </w:rPr>
              <w:t>文件</w:t>
            </w:r>
            <w:r>
              <w:rPr>
                <w:rFonts w:hint="eastAsia" w:ascii="宋体" w:hAnsi="宋体" w:cs="宋体"/>
                <w:kern w:val="0"/>
                <w:szCs w:val="21"/>
              </w:rPr>
              <w:t>规定的格式及要求。</w:t>
            </w:r>
          </w:p>
        </w:tc>
      </w:tr>
      <w:tr w14:paraId="25E1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478899FB">
            <w:pPr>
              <w:spacing w:line="360" w:lineRule="exact"/>
              <w:jc w:val="center"/>
              <w:rPr>
                <w:rFonts w:ascii="宋体" w:hAnsi="宋体" w:cs="宋体"/>
                <w:szCs w:val="21"/>
              </w:rPr>
            </w:pPr>
          </w:p>
        </w:tc>
        <w:tc>
          <w:tcPr>
            <w:tcW w:w="826" w:type="dxa"/>
            <w:vMerge w:val="continue"/>
            <w:vAlign w:val="center"/>
          </w:tcPr>
          <w:p w14:paraId="7E55CCBF">
            <w:pPr>
              <w:spacing w:line="360" w:lineRule="exact"/>
              <w:jc w:val="center"/>
              <w:rPr>
                <w:rFonts w:ascii="宋体" w:hAnsi="宋体" w:cs="宋体"/>
                <w:szCs w:val="21"/>
              </w:rPr>
            </w:pPr>
          </w:p>
        </w:tc>
        <w:tc>
          <w:tcPr>
            <w:tcW w:w="2574" w:type="dxa"/>
            <w:gridSpan w:val="3"/>
            <w:vAlign w:val="center"/>
          </w:tcPr>
          <w:p w14:paraId="0F73A4A0">
            <w:pPr>
              <w:jc w:val="center"/>
            </w:pPr>
            <w:r>
              <w:t>参加</w:t>
            </w:r>
            <w:r>
              <w:rPr>
                <w:rFonts w:hint="eastAsia"/>
                <w:lang w:eastAsia="zh-CN"/>
              </w:rPr>
              <w:t>谈判</w:t>
            </w:r>
            <w:r>
              <w:t>会</w:t>
            </w:r>
          </w:p>
        </w:tc>
        <w:tc>
          <w:tcPr>
            <w:tcW w:w="5150" w:type="dxa"/>
            <w:vAlign w:val="center"/>
          </w:tcPr>
          <w:p w14:paraId="4B686620">
            <w:pPr>
              <w:jc w:val="left"/>
            </w:pPr>
            <w:r>
              <w:t>参加</w:t>
            </w:r>
            <w:r>
              <w:rPr>
                <w:rFonts w:hint="eastAsia"/>
                <w:lang w:eastAsia="zh-CN"/>
              </w:rPr>
              <w:t>谈判</w:t>
            </w:r>
            <w:r>
              <w:t>会人员符合</w:t>
            </w:r>
            <w:r>
              <w:rPr>
                <w:rFonts w:hint="eastAsia" w:ascii="宋体" w:hAnsi="宋体" w:cs="宋体"/>
                <w:szCs w:val="21"/>
                <w:lang w:eastAsia="zh-CN"/>
              </w:rPr>
              <w:t>竞争谈判</w:t>
            </w:r>
            <w:r>
              <w:rPr>
                <w:rFonts w:hint="eastAsia"/>
                <w:lang w:eastAsia="zh-CN"/>
              </w:rPr>
              <w:t>文件</w:t>
            </w:r>
            <w:r>
              <w:t>要求</w:t>
            </w:r>
          </w:p>
        </w:tc>
      </w:tr>
      <w:tr w14:paraId="4051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restart"/>
            <w:vAlign w:val="center"/>
          </w:tcPr>
          <w:p w14:paraId="0D308F2E">
            <w:pPr>
              <w:spacing w:line="360" w:lineRule="exact"/>
              <w:jc w:val="center"/>
              <w:rPr>
                <w:rFonts w:ascii="宋体" w:hAnsi="宋体" w:cs="宋体"/>
                <w:szCs w:val="21"/>
              </w:rPr>
            </w:pPr>
            <w:r>
              <w:rPr>
                <w:rFonts w:hint="eastAsia" w:ascii="宋体" w:hAnsi="宋体" w:cs="宋体"/>
                <w:szCs w:val="21"/>
              </w:rPr>
              <w:t>2.1.2</w:t>
            </w:r>
          </w:p>
        </w:tc>
        <w:tc>
          <w:tcPr>
            <w:tcW w:w="826" w:type="dxa"/>
            <w:vMerge w:val="restart"/>
            <w:textDirection w:val="tbRlV"/>
            <w:vAlign w:val="center"/>
          </w:tcPr>
          <w:p w14:paraId="34B8DCC4">
            <w:pPr>
              <w:spacing w:line="360" w:lineRule="exact"/>
              <w:ind w:left="113" w:right="113"/>
              <w:jc w:val="center"/>
              <w:rPr>
                <w:rFonts w:ascii="宋体" w:hAnsi="宋体" w:cs="宋体"/>
                <w:szCs w:val="21"/>
              </w:rPr>
            </w:pPr>
            <w:r>
              <w:rPr>
                <w:rFonts w:hint="eastAsia" w:ascii="宋体" w:hAnsi="宋体" w:cs="宋体"/>
                <w:szCs w:val="21"/>
              </w:rPr>
              <w:t>资格评审标准</w:t>
            </w:r>
          </w:p>
        </w:tc>
        <w:tc>
          <w:tcPr>
            <w:tcW w:w="2574" w:type="dxa"/>
            <w:gridSpan w:val="3"/>
            <w:vAlign w:val="center"/>
          </w:tcPr>
          <w:p w14:paraId="6932D0D2">
            <w:pPr>
              <w:spacing w:line="360" w:lineRule="exact"/>
              <w:jc w:val="center"/>
              <w:rPr>
                <w:rFonts w:ascii="宋体" w:hAnsi="宋体" w:cs="宋体"/>
                <w:szCs w:val="21"/>
              </w:rPr>
            </w:pPr>
            <w:r>
              <w:rPr>
                <w:rFonts w:hint="eastAsia" w:ascii="宋体" w:hAnsi="宋体" w:cs="宋体"/>
                <w:szCs w:val="21"/>
              </w:rPr>
              <w:t>营业执照</w:t>
            </w:r>
          </w:p>
        </w:tc>
        <w:tc>
          <w:tcPr>
            <w:tcW w:w="5150" w:type="dxa"/>
            <w:vAlign w:val="center"/>
          </w:tcPr>
          <w:p w14:paraId="7B68D203">
            <w:pPr>
              <w:adjustRightInd w:val="0"/>
              <w:snapToGrid w:val="0"/>
              <w:spacing w:line="360" w:lineRule="exact"/>
              <w:jc w:val="center"/>
              <w:rPr>
                <w:rFonts w:ascii="宋体" w:hAnsi="宋体" w:cs="宋体"/>
                <w:kern w:val="0"/>
                <w:szCs w:val="21"/>
              </w:rPr>
            </w:pPr>
            <w:r>
              <w:rPr>
                <w:rFonts w:hint="eastAsia" w:ascii="宋体" w:hAnsi="宋体" w:cs="宋体"/>
                <w:kern w:val="0"/>
                <w:szCs w:val="21"/>
              </w:rPr>
              <w:t>具备有效的营业执照</w:t>
            </w:r>
          </w:p>
        </w:tc>
      </w:tr>
      <w:tr w14:paraId="1DD4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350500EC">
            <w:pPr>
              <w:spacing w:line="360" w:lineRule="exact"/>
              <w:jc w:val="center"/>
              <w:rPr>
                <w:rFonts w:ascii="宋体" w:hAnsi="宋体" w:cs="宋体"/>
                <w:szCs w:val="21"/>
              </w:rPr>
            </w:pPr>
          </w:p>
        </w:tc>
        <w:tc>
          <w:tcPr>
            <w:tcW w:w="826" w:type="dxa"/>
            <w:vMerge w:val="continue"/>
            <w:vAlign w:val="center"/>
          </w:tcPr>
          <w:p w14:paraId="3A689B91">
            <w:pPr>
              <w:spacing w:line="360" w:lineRule="exact"/>
              <w:jc w:val="center"/>
              <w:rPr>
                <w:rFonts w:ascii="宋体" w:hAnsi="宋体" w:cs="宋体"/>
                <w:szCs w:val="21"/>
              </w:rPr>
            </w:pPr>
          </w:p>
        </w:tc>
        <w:tc>
          <w:tcPr>
            <w:tcW w:w="2574" w:type="dxa"/>
            <w:gridSpan w:val="3"/>
            <w:vAlign w:val="center"/>
          </w:tcPr>
          <w:p w14:paraId="5DBECE22">
            <w:pPr>
              <w:spacing w:line="360" w:lineRule="exact"/>
              <w:jc w:val="center"/>
              <w:rPr>
                <w:rFonts w:ascii="宋体" w:hAnsi="宋体" w:cs="宋体"/>
                <w:szCs w:val="21"/>
              </w:rPr>
            </w:pPr>
            <w:r>
              <w:rPr>
                <w:rFonts w:hint="eastAsia" w:ascii="宋体" w:hAnsi="宋体" w:cs="宋体"/>
                <w:szCs w:val="21"/>
              </w:rPr>
              <w:t>资质条件</w:t>
            </w:r>
          </w:p>
        </w:tc>
        <w:tc>
          <w:tcPr>
            <w:tcW w:w="5150" w:type="dxa"/>
            <w:vAlign w:val="center"/>
          </w:tcPr>
          <w:p w14:paraId="6703CE96">
            <w:pPr>
              <w:adjustRightInd w:val="0"/>
              <w:snapToGrid w:val="0"/>
              <w:spacing w:line="360" w:lineRule="exact"/>
              <w:jc w:val="center"/>
              <w:rPr>
                <w:rFonts w:ascii="宋体" w:hAnsi="宋体" w:cs="宋体"/>
                <w:kern w:val="0"/>
                <w:szCs w:val="21"/>
              </w:rPr>
            </w:pPr>
            <w:r>
              <w:rPr>
                <w:rFonts w:hint="eastAsia" w:ascii="宋体" w:hAnsi="宋体" w:cs="宋体"/>
                <w:kern w:val="0"/>
                <w:szCs w:val="21"/>
              </w:rPr>
              <w:t>符合第二章“供应商须知”第1.4.1 项规定</w:t>
            </w:r>
          </w:p>
        </w:tc>
      </w:tr>
      <w:tr w14:paraId="449B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511A2560">
            <w:pPr>
              <w:spacing w:line="360" w:lineRule="exact"/>
              <w:jc w:val="center"/>
              <w:rPr>
                <w:rFonts w:ascii="宋体" w:hAnsi="宋体" w:cs="宋体"/>
                <w:szCs w:val="21"/>
              </w:rPr>
            </w:pPr>
          </w:p>
        </w:tc>
        <w:tc>
          <w:tcPr>
            <w:tcW w:w="826" w:type="dxa"/>
            <w:vMerge w:val="continue"/>
            <w:vAlign w:val="center"/>
          </w:tcPr>
          <w:p w14:paraId="79117CBA">
            <w:pPr>
              <w:spacing w:line="360" w:lineRule="exact"/>
              <w:jc w:val="center"/>
              <w:rPr>
                <w:rFonts w:ascii="宋体" w:hAnsi="宋体" w:cs="宋体"/>
                <w:szCs w:val="21"/>
              </w:rPr>
            </w:pPr>
          </w:p>
        </w:tc>
        <w:tc>
          <w:tcPr>
            <w:tcW w:w="2574" w:type="dxa"/>
            <w:gridSpan w:val="3"/>
            <w:vAlign w:val="center"/>
          </w:tcPr>
          <w:p w14:paraId="4ED58CA1">
            <w:pPr>
              <w:spacing w:line="360" w:lineRule="exact"/>
              <w:jc w:val="center"/>
              <w:rPr>
                <w:rFonts w:ascii="宋体" w:hAnsi="宋体" w:cs="宋体"/>
                <w:szCs w:val="21"/>
              </w:rPr>
            </w:pPr>
            <w:r>
              <w:rPr>
                <w:rFonts w:ascii="宋体" w:hAnsi="宋体" w:cs="宋体"/>
                <w:szCs w:val="21"/>
              </w:rPr>
              <w:t>项目管理机构及人员要求</w:t>
            </w:r>
          </w:p>
        </w:tc>
        <w:tc>
          <w:tcPr>
            <w:tcW w:w="5150" w:type="dxa"/>
            <w:vAlign w:val="center"/>
          </w:tcPr>
          <w:p w14:paraId="70FE3A33">
            <w:pPr>
              <w:adjustRightInd w:val="0"/>
              <w:snapToGrid w:val="0"/>
              <w:spacing w:line="360" w:lineRule="exact"/>
              <w:jc w:val="center"/>
              <w:rPr>
                <w:rFonts w:ascii="宋体" w:hAnsi="宋体" w:cs="宋体"/>
                <w:kern w:val="0"/>
                <w:szCs w:val="21"/>
              </w:rPr>
            </w:pPr>
            <w:r>
              <w:rPr>
                <w:rFonts w:hint="eastAsia" w:ascii="宋体" w:hAnsi="宋体" w:cs="宋体"/>
                <w:kern w:val="0"/>
                <w:szCs w:val="21"/>
              </w:rPr>
              <w:t>符合第二章“供应商须知”第1.4.1 项规定</w:t>
            </w:r>
          </w:p>
        </w:tc>
      </w:tr>
      <w:tr w14:paraId="49B8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33286CDD">
            <w:pPr>
              <w:spacing w:line="360" w:lineRule="exact"/>
              <w:jc w:val="center"/>
              <w:rPr>
                <w:rFonts w:ascii="宋体" w:hAnsi="宋体" w:cs="宋体"/>
                <w:szCs w:val="21"/>
              </w:rPr>
            </w:pPr>
          </w:p>
        </w:tc>
        <w:tc>
          <w:tcPr>
            <w:tcW w:w="826" w:type="dxa"/>
            <w:vMerge w:val="continue"/>
            <w:vAlign w:val="center"/>
          </w:tcPr>
          <w:p w14:paraId="5049DE95">
            <w:pPr>
              <w:spacing w:line="360" w:lineRule="exact"/>
              <w:jc w:val="center"/>
              <w:rPr>
                <w:rFonts w:ascii="宋体" w:hAnsi="宋体" w:cs="宋体"/>
                <w:szCs w:val="21"/>
              </w:rPr>
            </w:pPr>
          </w:p>
        </w:tc>
        <w:tc>
          <w:tcPr>
            <w:tcW w:w="2574" w:type="dxa"/>
            <w:gridSpan w:val="3"/>
            <w:vAlign w:val="center"/>
          </w:tcPr>
          <w:p w14:paraId="05C70CFC">
            <w:pPr>
              <w:spacing w:line="360" w:lineRule="exact"/>
              <w:jc w:val="center"/>
              <w:rPr>
                <w:rFonts w:ascii="宋体" w:hAnsi="宋体" w:cs="宋体"/>
                <w:szCs w:val="21"/>
              </w:rPr>
            </w:pPr>
            <w:r>
              <w:rPr>
                <w:rFonts w:hint="eastAsia" w:ascii="宋体" w:hAnsi="宋体" w:cs="宋体"/>
                <w:szCs w:val="21"/>
              </w:rPr>
              <w:t>信誉要求</w:t>
            </w:r>
          </w:p>
        </w:tc>
        <w:tc>
          <w:tcPr>
            <w:tcW w:w="5150" w:type="dxa"/>
            <w:vAlign w:val="center"/>
          </w:tcPr>
          <w:p w14:paraId="15FD5204">
            <w:pPr>
              <w:adjustRightInd w:val="0"/>
              <w:snapToGrid w:val="0"/>
              <w:spacing w:line="360" w:lineRule="exact"/>
              <w:jc w:val="center"/>
              <w:rPr>
                <w:rFonts w:ascii="宋体" w:hAnsi="宋体" w:cs="宋体"/>
                <w:kern w:val="0"/>
                <w:szCs w:val="21"/>
              </w:rPr>
            </w:pPr>
            <w:r>
              <w:rPr>
                <w:rFonts w:hint="eastAsia" w:ascii="宋体" w:hAnsi="宋体" w:cs="宋体"/>
                <w:kern w:val="0"/>
                <w:szCs w:val="21"/>
              </w:rPr>
              <w:t>符合第二章“供应商须知”第1.4.1 项规定</w:t>
            </w:r>
          </w:p>
        </w:tc>
      </w:tr>
      <w:tr w14:paraId="32A8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6F1D8261">
            <w:pPr>
              <w:spacing w:line="360" w:lineRule="exact"/>
              <w:jc w:val="center"/>
              <w:rPr>
                <w:rFonts w:ascii="宋体" w:hAnsi="宋体" w:cs="宋体"/>
                <w:szCs w:val="21"/>
              </w:rPr>
            </w:pPr>
          </w:p>
        </w:tc>
        <w:tc>
          <w:tcPr>
            <w:tcW w:w="826" w:type="dxa"/>
            <w:vMerge w:val="continue"/>
            <w:vAlign w:val="center"/>
          </w:tcPr>
          <w:p w14:paraId="0DB7C7EE">
            <w:pPr>
              <w:spacing w:line="360" w:lineRule="exact"/>
              <w:jc w:val="center"/>
              <w:rPr>
                <w:rFonts w:ascii="宋体" w:hAnsi="宋体" w:cs="宋体"/>
                <w:szCs w:val="21"/>
              </w:rPr>
            </w:pPr>
          </w:p>
        </w:tc>
        <w:tc>
          <w:tcPr>
            <w:tcW w:w="2574" w:type="dxa"/>
            <w:gridSpan w:val="3"/>
            <w:vAlign w:val="center"/>
          </w:tcPr>
          <w:p w14:paraId="15E56947">
            <w:pPr>
              <w:spacing w:line="360" w:lineRule="exact"/>
              <w:jc w:val="center"/>
              <w:rPr>
                <w:rFonts w:ascii="宋体" w:hAnsi="宋体" w:cs="宋体"/>
                <w:szCs w:val="21"/>
              </w:rPr>
            </w:pPr>
            <w:r>
              <w:rPr>
                <w:rFonts w:hint="eastAsia" w:ascii="宋体" w:hAnsi="宋体" w:cs="宋体"/>
                <w:szCs w:val="21"/>
              </w:rPr>
              <w:t>其他要求</w:t>
            </w:r>
          </w:p>
        </w:tc>
        <w:tc>
          <w:tcPr>
            <w:tcW w:w="5150" w:type="dxa"/>
            <w:vAlign w:val="center"/>
          </w:tcPr>
          <w:p w14:paraId="394C749A">
            <w:pPr>
              <w:adjustRightInd w:val="0"/>
              <w:snapToGrid w:val="0"/>
              <w:spacing w:line="360" w:lineRule="exact"/>
              <w:jc w:val="center"/>
              <w:rPr>
                <w:rFonts w:ascii="宋体" w:hAnsi="宋体" w:cs="宋体"/>
                <w:kern w:val="0"/>
                <w:szCs w:val="21"/>
              </w:rPr>
            </w:pPr>
            <w:r>
              <w:rPr>
                <w:rFonts w:hint="eastAsia" w:ascii="宋体" w:hAnsi="宋体" w:cs="宋体"/>
                <w:kern w:val="0"/>
                <w:szCs w:val="21"/>
              </w:rPr>
              <w:t>符合</w:t>
            </w:r>
            <w:r>
              <w:rPr>
                <w:rFonts w:hint="eastAsia" w:ascii="宋体" w:hAnsi="宋体" w:cs="宋体"/>
                <w:szCs w:val="21"/>
                <w:lang w:eastAsia="zh-CN"/>
              </w:rPr>
              <w:t>竞争谈判</w:t>
            </w:r>
            <w:r>
              <w:rPr>
                <w:rFonts w:hint="eastAsia" w:ascii="宋体" w:hAnsi="宋体" w:cs="宋体"/>
                <w:kern w:val="0"/>
                <w:szCs w:val="21"/>
                <w:lang w:eastAsia="zh-CN"/>
              </w:rPr>
              <w:t>文件</w:t>
            </w:r>
            <w:r>
              <w:rPr>
                <w:rFonts w:hint="eastAsia" w:ascii="宋体" w:hAnsi="宋体" w:cs="宋体"/>
                <w:kern w:val="0"/>
                <w:szCs w:val="21"/>
              </w:rPr>
              <w:t>规定的其他要求</w:t>
            </w:r>
          </w:p>
        </w:tc>
      </w:tr>
      <w:tr w14:paraId="2E34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restart"/>
            <w:vAlign w:val="center"/>
          </w:tcPr>
          <w:p w14:paraId="062B7F59">
            <w:pPr>
              <w:spacing w:line="360" w:lineRule="exact"/>
              <w:jc w:val="center"/>
              <w:rPr>
                <w:rFonts w:ascii="宋体" w:hAnsi="宋体" w:cs="宋体"/>
                <w:szCs w:val="21"/>
              </w:rPr>
            </w:pPr>
            <w:r>
              <w:rPr>
                <w:rFonts w:hint="eastAsia" w:ascii="宋体" w:hAnsi="宋体" w:cs="宋体"/>
                <w:szCs w:val="21"/>
              </w:rPr>
              <w:t>2.1.3</w:t>
            </w:r>
          </w:p>
        </w:tc>
        <w:tc>
          <w:tcPr>
            <w:tcW w:w="826" w:type="dxa"/>
            <w:vMerge w:val="restart"/>
            <w:vAlign w:val="center"/>
          </w:tcPr>
          <w:p w14:paraId="53ECD215">
            <w:pPr>
              <w:spacing w:line="360" w:lineRule="exact"/>
              <w:jc w:val="center"/>
              <w:rPr>
                <w:rFonts w:hint="eastAsia" w:ascii="宋体" w:hAnsi="宋体" w:eastAsia="宋体" w:cs="宋体"/>
                <w:szCs w:val="21"/>
              </w:rPr>
            </w:pPr>
          </w:p>
          <w:p w14:paraId="3E9A6109">
            <w:pPr>
              <w:spacing w:line="360" w:lineRule="exact"/>
              <w:jc w:val="center"/>
              <w:rPr>
                <w:rFonts w:hint="eastAsia" w:ascii="宋体" w:hAnsi="宋体" w:eastAsia="宋体" w:cs="宋体"/>
                <w:szCs w:val="21"/>
              </w:rPr>
            </w:pPr>
          </w:p>
          <w:p w14:paraId="7FA21785">
            <w:pPr>
              <w:spacing w:line="360" w:lineRule="exact"/>
              <w:jc w:val="center"/>
              <w:rPr>
                <w:rFonts w:hint="eastAsia" w:ascii="宋体" w:hAnsi="宋体" w:eastAsia="宋体" w:cs="宋体"/>
                <w:szCs w:val="21"/>
              </w:rPr>
            </w:pPr>
          </w:p>
          <w:p w14:paraId="40CE6CD3">
            <w:pPr>
              <w:spacing w:line="360" w:lineRule="exact"/>
              <w:jc w:val="center"/>
              <w:rPr>
                <w:rFonts w:ascii="宋体" w:hAnsi="宋体" w:cs="宋体"/>
                <w:szCs w:val="21"/>
              </w:rPr>
            </w:pPr>
            <w:r>
              <w:rPr>
                <w:rFonts w:hint="eastAsia" w:ascii="宋体" w:hAnsi="宋体" w:eastAsia="宋体" w:cs="宋体"/>
                <w:szCs w:val="21"/>
              </w:rPr>
              <w:t>响应性评审标准</w:t>
            </w:r>
          </w:p>
        </w:tc>
        <w:tc>
          <w:tcPr>
            <w:tcW w:w="2574" w:type="dxa"/>
            <w:gridSpan w:val="3"/>
            <w:vAlign w:val="center"/>
          </w:tcPr>
          <w:p w14:paraId="06BF5040">
            <w:pPr>
              <w:spacing w:line="360" w:lineRule="exact"/>
              <w:jc w:val="center"/>
              <w:rPr>
                <w:rFonts w:ascii="宋体" w:hAnsi="宋体" w:cs="宋体"/>
                <w:szCs w:val="21"/>
              </w:rPr>
            </w:pPr>
            <w:r>
              <w:rPr>
                <w:rFonts w:hint="eastAsia" w:ascii="宋体" w:hAnsi="宋体" w:cs="宋体"/>
                <w:szCs w:val="21"/>
                <w:lang w:eastAsia="zh-CN"/>
              </w:rPr>
              <w:t>谈判</w:t>
            </w:r>
            <w:r>
              <w:rPr>
                <w:rFonts w:hint="eastAsia" w:ascii="宋体" w:hAnsi="宋体" w:cs="宋体"/>
                <w:szCs w:val="21"/>
              </w:rPr>
              <w:t>报价</w:t>
            </w:r>
          </w:p>
        </w:tc>
        <w:tc>
          <w:tcPr>
            <w:tcW w:w="5150" w:type="dxa"/>
            <w:vAlign w:val="center"/>
          </w:tcPr>
          <w:p w14:paraId="68E283D6">
            <w:pPr>
              <w:adjustRightInd w:val="0"/>
              <w:snapToGrid w:val="0"/>
              <w:spacing w:line="360" w:lineRule="exact"/>
              <w:jc w:val="left"/>
              <w:rPr>
                <w:rFonts w:ascii="宋体" w:hAnsi="宋体" w:cs="宋体"/>
                <w:kern w:val="0"/>
                <w:szCs w:val="21"/>
              </w:rPr>
            </w:pPr>
            <w:r>
              <w:rPr>
                <w:rFonts w:hint="eastAsia" w:ascii="宋体" w:hAnsi="宋体" w:cs="宋体"/>
                <w:kern w:val="0"/>
                <w:szCs w:val="21"/>
                <w:lang w:eastAsia="zh-CN"/>
              </w:rPr>
              <w:t>谈判</w:t>
            </w:r>
            <w:r>
              <w:rPr>
                <w:rFonts w:hint="eastAsia" w:ascii="宋体" w:hAnsi="宋体" w:cs="宋体"/>
                <w:kern w:val="0"/>
                <w:szCs w:val="21"/>
              </w:rPr>
              <w:t>报价不得高于采购人公布的</w:t>
            </w:r>
            <w:r>
              <w:rPr>
                <w:rFonts w:hint="eastAsia" w:ascii="宋体" w:hAnsi="宋体" w:cs="宋体"/>
                <w:kern w:val="0"/>
                <w:szCs w:val="21"/>
                <w:lang w:eastAsia="zh-CN"/>
              </w:rPr>
              <w:t>谈判</w:t>
            </w:r>
            <w:r>
              <w:rPr>
                <w:rFonts w:hint="eastAsia" w:ascii="宋体" w:hAnsi="宋体" w:cs="宋体"/>
                <w:kern w:val="0"/>
                <w:szCs w:val="21"/>
              </w:rPr>
              <w:t>控制价（最高限价）符合第二章“供应商须知前附表”第3.2 项规定</w:t>
            </w:r>
          </w:p>
        </w:tc>
      </w:tr>
      <w:tr w14:paraId="3CF6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26C8B148">
            <w:pPr>
              <w:spacing w:line="360" w:lineRule="exact"/>
              <w:jc w:val="center"/>
              <w:rPr>
                <w:rFonts w:ascii="宋体" w:hAnsi="宋体" w:cs="宋体"/>
                <w:szCs w:val="21"/>
              </w:rPr>
            </w:pPr>
          </w:p>
        </w:tc>
        <w:tc>
          <w:tcPr>
            <w:tcW w:w="826" w:type="dxa"/>
            <w:vMerge w:val="continue"/>
            <w:vAlign w:val="center"/>
          </w:tcPr>
          <w:p w14:paraId="326A9A59">
            <w:pPr>
              <w:spacing w:line="360" w:lineRule="exact"/>
              <w:jc w:val="center"/>
              <w:rPr>
                <w:rFonts w:ascii="宋体" w:hAnsi="宋体" w:cs="宋体"/>
                <w:szCs w:val="21"/>
              </w:rPr>
            </w:pPr>
          </w:p>
        </w:tc>
        <w:tc>
          <w:tcPr>
            <w:tcW w:w="2574" w:type="dxa"/>
            <w:gridSpan w:val="3"/>
            <w:vAlign w:val="center"/>
          </w:tcPr>
          <w:p w14:paraId="5C5234F7">
            <w:pPr>
              <w:spacing w:line="360" w:lineRule="exact"/>
              <w:jc w:val="center"/>
              <w:rPr>
                <w:rFonts w:ascii="宋体" w:hAnsi="宋体" w:cs="宋体"/>
                <w:szCs w:val="21"/>
              </w:rPr>
            </w:pPr>
            <w:r>
              <w:rPr>
                <w:rFonts w:hint="eastAsia" w:ascii="宋体" w:hAnsi="宋体" w:cs="宋体"/>
                <w:szCs w:val="21"/>
                <w:lang w:eastAsia="zh-CN"/>
              </w:rPr>
              <w:t>谈判</w:t>
            </w:r>
            <w:r>
              <w:rPr>
                <w:rFonts w:hint="eastAsia" w:ascii="宋体" w:hAnsi="宋体" w:cs="宋体"/>
                <w:szCs w:val="21"/>
              </w:rPr>
              <w:t>内容</w:t>
            </w:r>
          </w:p>
        </w:tc>
        <w:tc>
          <w:tcPr>
            <w:tcW w:w="5150" w:type="dxa"/>
            <w:vAlign w:val="center"/>
          </w:tcPr>
          <w:p w14:paraId="1DEF2C3D">
            <w:pPr>
              <w:adjustRightInd w:val="0"/>
              <w:snapToGrid w:val="0"/>
              <w:spacing w:line="360" w:lineRule="exact"/>
              <w:jc w:val="center"/>
              <w:rPr>
                <w:rFonts w:ascii="宋体" w:hAnsi="宋体" w:cs="宋体"/>
                <w:kern w:val="0"/>
                <w:szCs w:val="21"/>
              </w:rPr>
            </w:pPr>
            <w:r>
              <w:rPr>
                <w:rFonts w:hint="eastAsia" w:ascii="宋体" w:hAnsi="宋体" w:cs="宋体"/>
                <w:kern w:val="0"/>
                <w:szCs w:val="21"/>
              </w:rPr>
              <w:t>符合第二章“供应商须知”第1.3.1项规定</w:t>
            </w:r>
          </w:p>
        </w:tc>
      </w:tr>
      <w:tr w14:paraId="03C6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tcPr>
          <w:p w14:paraId="35A4BADB">
            <w:pPr>
              <w:spacing w:line="360" w:lineRule="exact"/>
              <w:jc w:val="center"/>
              <w:rPr>
                <w:rFonts w:ascii="宋体" w:hAnsi="宋体" w:cs="宋体"/>
                <w:szCs w:val="21"/>
              </w:rPr>
            </w:pPr>
          </w:p>
        </w:tc>
        <w:tc>
          <w:tcPr>
            <w:tcW w:w="826" w:type="dxa"/>
            <w:vMerge w:val="continue"/>
          </w:tcPr>
          <w:p w14:paraId="04B93181">
            <w:pPr>
              <w:spacing w:line="360" w:lineRule="exact"/>
              <w:jc w:val="center"/>
              <w:rPr>
                <w:rFonts w:ascii="宋体" w:hAnsi="宋体" w:cs="宋体"/>
                <w:szCs w:val="21"/>
              </w:rPr>
            </w:pPr>
          </w:p>
        </w:tc>
        <w:tc>
          <w:tcPr>
            <w:tcW w:w="2574" w:type="dxa"/>
            <w:gridSpan w:val="3"/>
            <w:vAlign w:val="center"/>
          </w:tcPr>
          <w:p w14:paraId="62440485">
            <w:pPr>
              <w:spacing w:line="360" w:lineRule="exact"/>
              <w:jc w:val="center"/>
              <w:rPr>
                <w:rFonts w:ascii="宋体" w:hAnsi="宋体" w:cs="宋体"/>
                <w:szCs w:val="21"/>
              </w:rPr>
            </w:pPr>
            <w:r>
              <w:rPr>
                <w:rFonts w:hint="eastAsia" w:ascii="宋体" w:hAnsi="宋体" w:eastAsia="宋体" w:cs="宋体"/>
                <w:szCs w:val="21"/>
              </w:rPr>
              <w:t>服务期限</w:t>
            </w:r>
          </w:p>
        </w:tc>
        <w:tc>
          <w:tcPr>
            <w:tcW w:w="5150" w:type="dxa"/>
            <w:vAlign w:val="center"/>
          </w:tcPr>
          <w:p w14:paraId="29D184C9">
            <w:pPr>
              <w:adjustRightInd w:val="0"/>
              <w:snapToGrid w:val="0"/>
              <w:spacing w:line="360" w:lineRule="exact"/>
              <w:jc w:val="center"/>
              <w:rPr>
                <w:rFonts w:ascii="宋体" w:hAnsi="宋体" w:cs="宋体"/>
                <w:kern w:val="0"/>
                <w:szCs w:val="21"/>
              </w:rPr>
            </w:pPr>
            <w:r>
              <w:rPr>
                <w:rFonts w:hint="eastAsia" w:ascii="宋体" w:hAnsi="宋体" w:cs="宋体"/>
                <w:kern w:val="0"/>
                <w:szCs w:val="21"/>
              </w:rPr>
              <w:t>符合第二章“供应商须知”第1.3.2 项规定</w:t>
            </w:r>
          </w:p>
        </w:tc>
      </w:tr>
      <w:tr w14:paraId="3EB70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tcPr>
          <w:p w14:paraId="1DEBE2E2">
            <w:pPr>
              <w:spacing w:line="360" w:lineRule="exact"/>
              <w:jc w:val="center"/>
              <w:rPr>
                <w:rFonts w:ascii="宋体" w:hAnsi="宋体" w:cs="宋体"/>
                <w:szCs w:val="21"/>
              </w:rPr>
            </w:pPr>
          </w:p>
        </w:tc>
        <w:tc>
          <w:tcPr>
            <w:tcW w:w="826" w:type="dxa"/>
            <w:vMerge w:val="continue"/>
          </w:tcPr>
          <w:p w14:paraId="6E77A581">
            <w:pPr>
              <w:spacing w:line="360" w:lineRule="exact"/>
              <w:jc w:val="center"/>
              <w:rPr>
                <w:rFonts w:ascii="宋体" w:hAnsi="宋体" w:cs="宋体"/>
                <w:szCs w:val="21"/>
              </w:rPr>
            </w:pPr>
          </w:p>
        </w:tc>
        <w:tc>
          <w:tcPr>
            <w:tcW w:w="2574" w:type="dxa"/>
            <w:gridSpan w:val="3"/>
            <w:vAlign w:val="center"/>
          </w:tcPr>
          <w:p w14:paraId="213A5142">
            <w:pPr>
              <w:spacing w:line="360" w:lineRule="exact"/>
              <w:jc w:val="center"/>
              <w:rPr>
                <w:rFonts w:ascii="宋体" w:hAnsi="宋体" w:cs="宋体"/>
                <w:szCs w:val="21"/>
              </w:rPr>
            </w:pPr>
            <w:r>
              <w:rPr>
                <w:rFonts w:hint="eastAsia" w:ascii="宋体" w:hAnsi="宋体" w:eastAsia="宋体" w:cs="宋体"/>
                <w:szCs w:val="21"/>
              </w:rPr>
              <w:t>质量标准</w:t>
            </w:r>
          </w:p>
        </w:tc>
        <w:tc>
          <w:tcPr>
            <w:tcW w:w="5150" w:type="dxa"/>
            <w:vAlign w:val="center"/>
          </w:tcPr>
          <w:p w14:paraId="5B102D23">
            <w:pPr>
              <w:adjustRightInd w:val="0"/>
              <w:snapToGrid w:val="0"/>
              <w:spacing w:line="360" w:lineRule="exact"/>
              <w:jc w:val="center"/>
              <w:rPr>
                <w:rFonts w:ascii="宋体" w:hAnsi="宋体" w:cs="宋体"/>
                <w:kern w:val="0"/>
                <w:szCs w:val="21"/>
              </w:rPr>
            </w:pPr>
            <w:r>
              <w:rPr>
                <w:rFonts w:hint="eastAsia" w:ascii="宋体" w:hAnsi="宋体" w:cs="宋体"/>
                <w:kern w:val="0"/>
                <w:szCs w:val="21"/>
              </w:rPr>
              <w:t>符合第二章“供应商须知”第1.3.3 项规定</w:t>
            </w:r>
          </w:p>
        </w:tc>
      </w:tr>
      <w:tr w14:paraId="38F8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tcPr>
          <w:p w14:paraId="1E79B6DB">
            <w:pPr>
              <w:spacing w:line="360" w:lineRule="exact"/>
              <w:jc w:val="center"/>
              <w:rPr>
                <w:rFonts w:ascii="宋体" w:hAnsi="宋体" w:cs="宋体"/>
                <w:szCs w:val="21"/>
              </w:rPr>
            </w:pPr>
          </w:p>
        </w:tc>
        <w:tc>
          <w:tcPr>
            <w:tcW w:w="826" w:type="dxa"/>
            <w:vMerge w:val="continue"/>
          </w:tcPr>
          <w:p w14:paraId="2A0A07F4">
            <w:pPr>
              <w:spacing w:line="360" w:lineRule="exact"/>
              <w:jc w:val="center"/>
              <w:rPr>
                <w:rFonts w:ascii="宋体" w:hAnsi="宋体" w:cs="宋体"/>
                <w:szCs w:val="21"/>
              </w:rPr>
            </w:pPr>
          </w:p>
        </w:tc>
        <w:tc>
          <w:tcPr>
            <w:tcW w:w="2574" w:type="dxa"/>
            <w:gridSpan w:val="3"/>
            <w:vAlign w:val="center"/>
          </w:tcPr>
          <w:p w14:paraId="74966D40">
            <w:pPr>
              <w:snapToGrid w:val="0"/>
              <w:spacing w:line="360" w:lineRule="exact"/>
              <w:jc w:val="center"/>
              <w:rPr>
                <w:rFonts w:ascii="宋体" w:hAnsi="宋体" w:cs="宋体"/>
                <w:kern w:val="0"/>
                <w:szCs w:val="21"/>
              </w:rPr>
            </w:pPr>
            <w:r>
              <w:rPr>
                <w:rFonts w:hint="eastAsia" w:ascii="宋体" w:hAnsi="宋体" w:cs="宋体"/>
                <w:kern w:val="0"/>
                <w:szCs w:val="21"/>
                <w:lang w:eastAsia="zh-CN"/>
              </w:rPr>
              <w:t>谈判</w:t>
            </w:r>
            <w:r>
              <w:rPr>
                <w:rFonts w:hint="eastAsia" w:ascii="宋体" w:hAnsi="宋体" w:cs="宋体"/>
                <w:kern w:val="0"/>
                <w:szCs w:val="21"/>
              </w:rPr>
              <w:t>有效期</w:t>
            </w:r>
          </w:p>
        </w:tc>
        <w:tc>
          <w:tcPr>
            <w:tcW w:w="5150" w:type="dxa"/>
            <w:vAlign w:val="center"/>
          </w:tcPr>
          <w:p w14:paraId="442C6A5F">
            <w:pPr>
              <w:snapToGrid w:val="0"/>
              <w:spacing w:line="360" w:lineRule="exact"/>
              <w:jc w:val="center"/>
              <w:rPr>
                <w:rFonts w:ascii="宋体" w:hAnsi="宋体" w:cs="宋体"/>
                <w:kern w:val="0"/>
                <w:szCs w:val="21"/>
              </w:rPr>
            </w:pPr>
            <w:r>
              <w:rPr>
                <w:rFonts w:hint="eastAsia" w:ascii="宋体" w:hAnsi="宋体" w:cs="宋体"/>
                <w:kern w:val="0"/>
                <w:szCs w:val="21"/>
              </w:rPr>
              <w:t>符合第二章“供应商须知”第3.3.1 项规定</w:t>
            </w:r>
          </w:p>
        </w:tc>
      </w:tr>
      <w:tr w14:paraId="7298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tcPr>
          <w:p w14:paraId="71850A1A">
            <w:pPr>
              <w:spacing w:line="360" w:lineRule="exact"/>
              <w:jc w:val="center"/>
              <w:rPr>
                <w:rFonts w:ascii="宋体" w:hAnsi="宋体" w:cs="宋体"/>
                <w:szCs w:val="21"/>
              </w:rPr>
            </w:pPr>
          </w:p>
        </w:tc>
        <w:tc>
          <w:tcPr>
            <w:tcW w:w="826" w:type="dxa"/>
            <w:vMerge w:val="continue"/>
          </w:tcPr>
          <w:p w14:paraId="645E504A">
            <w:pPr>
              <w:spacing w:line="360" w:lineRule="exact"/>
              <w:jc w:val="center"/>
              <w:rPr>
                <w:rFonts w:ascii="宋体" w:hAnsi="宋体" w:cs="宋体"/>
                <w:szCs w:val="21"/>
              </w:rPr>
            </w:pPr>
          </w:p>
        </w:tc>
        <w:tc>
          <w:tcPr>
            <w:tcW w:w="2574" w:type="dxa"/>
            <w:gridSpan w:val="3"/>
            <w:vAlign w:val="center"/>
          </w:tcPr>
          <w:p w14:paraId="1DF73E49">
            <w:pPr>
              <w:spacing w:line="360" w:lineRule="exact"/>
              <w:jc w:val="center"/>
              <w:rPr>
                <w:rFonts w:ascii="宋体" w:hAnsi="宋体" w:cs="宋体"/>
                <w:szCs w:val="21"/>
              </w:rPr>
            </w:pPr>
            <w:r>
              <w:rPr>
                <w:rFonts w:hint="eastAsia" w:ascii="宋体" w:hAnsi="宋体" w:cs="宋体"/>
                <w:szCs w:val="21"/>
                <w:lang w:eastAsia="zh-CN"/>
              </w:rPr>
              <w:t>谈判</w:t>
            </w:r>
            <w:r>
              <w:rPr>
                <w:rFonts w:hint="eastAsia" w:ascii="宋体" w:hAnsi="宋体" w:cs="宋体"/>
                <w:szCs w:val="21"/>
              </w:rPr>
              <w:t>保证金</w:t>
            </w:r>
          </w:p>
        </w:tc>
        <w:tc>
          <w:tcPr>
            <w:tcW w:w="5150" w:type="dxa"/>
            <w:vAlign w:val="center"/>
          </w:tcPr>
          <w:p w14:paraId="16568209">
            <w:pPr>
              <w:adjustRightInd w:val="0"/>
              <w:snapToGrid w:val="0"/>
              <w:spacing w:line="360" w:lineRule="exact"/>
              <w:jc w:val="center"/>
              <w:rPr>
                <w:rFonts w:ascii="宋体" w:hAnsi="宋体" w:cs="宋体"/>
                <w:kern w:val="0"/>
                <w:szCs w:val="21"/>
              </w:rPr>
            </w:pPr>
            <w:r>
              <w:rPr>
                <w:rFonts w:hint="eastAsia" w:ascii="宋体" w:hAnsi="宋体" w:cs="宋体"/>
                <w:kern w:val="0"/>
                <w:szCs w:val="21"/>
              </w:rPr>
              <w:t>符合第二章“供应商须知前附表”第3.4.1项规定</w:t>
            </w:r>
          </w:p>
        </w:tc>
      </w:tr>
      <w:tr w14:paraId="3E36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tcPr>
          <w:p w14:paraId="36CEAD09">
            <w:pPr>
              <w:spacing w:line="360" w:lineRule="exact"/>
              <w:jc w:val="center"/>
              <w:rPr>
                <w:rFonts w:ascii="宋体" w:hAnsi="宋体" w:cs="宋体"/>
                <w:szCs w:val="21"/>
              </w:rPr>
            </w:pPr>
          </w:p>
        </w:tc>
        <w:tc>
          <w:tcPr>
            <w:tcW w:w="826" w:type="dxa"/>
            <w:vMerge w:val="continue"/>
          </w:tcPr>
          <w:p w14:paraId="165229E1">
            <w:pPr>
              <w:spacing w:line="360" w:lineRule="exact"/>
              <w:jc w:val="center"/>
              <w:rPr>
                <w:rFonts w:ascii="宋体" w:hAnsi="宋体" w:cs="宋体"/>
                <w:szCs w:val="21"/>
              </w:rPr>
            </w:pPr>
          </w:p>
        </w:tc>
        <w:tc>
          <w:tcPr>
            <w:tcW w:w="2574" w:type="dxa"/>
            <w:gridSpan w:val="3"/>
            <w:vAlign w:val="center"/>
          </w:tcPr>
          <w:p w14:paraId="10B4F104">
            <w:pPr>
              <w:snapToGrid w:val="0"/>
              <w:spacing w:line="360" w:lineRule="exact"/>
              <w:jc w:val="center"/>
              <w:rPr>
                <w:rFonts w:ascii="宋体" w:hAnsi="宋体" w:cs="宋体"/>
                <w:kern w:val="0"/>
                <w:szCs w:val="21"/>
              </w:rPr>
            </w:pPr>
            <w:r>
              <w:rPr>
                <w:rFonts w:hint="eastAsia" w:ascii="宋体" w:hAnsi="宋体" w:cs="宋体"/>
                <w:kern w:val="0"/>
                <w:szCs w:val="21"/>
              </w:rPr>
              <w:t>权利义务</w:t>
            </w:r>
          </w:p>
        </w:tc>
        <w:tc>
          <w:tcPr>
            <w:tcW w:w="5150" w:type="dxa"/>
            <w:vAlign w:val="center"/>
          </w:tcPr>
          <w:p w14:paraId="032CD28F">
            <w:pPr>
              <w:snapToGrid w:val="0"/>
              <w:spacing w:line="360" w:lineRule="exact"/>
              <w:ind w:firstLine="420" w:firstLineChars="200"/>
              <w:rPr>
                <w:rFonts w:ascii="宋体" w:hAnsi="宋体" w:cs="宋体"/>
                <w:kern w:val="0"/>
                <w:szCs w:val="21"/>
              </w:rPr>
            </w:pPr>
            <w:r>
              <w:rPr>
                <w:rFonts w:hint="eastAsia" w:ascii="宋体" w:hAnsi="宋体" w:cs="宋体"/>
                <w:kern w:val="0"/>
                <w:szCs w:val="21"/>
              </w:rPr>
              <w:t>符合第四章“合同条款及格式”规定，</w:t>
            </w:r>
            <w:r>
              <w:rPr>
                <w:rFonts w:hint="eastAsia" w:ascii="宋体" w:hAnsi="宋体" w:cs="宋体"/>
                <w:kern w:val="0"/>
                <w:szCs w:val="21"/>
                <w:lang w:eastAsia="zh-CN"/>
              </w:rPr>
              <w:t>响应文件</w:t>
            </w:r>
            <w:r>
              <w:rPr>
                <w:rFonts w:hint="eastAsia" w:ascii="宋体" w:hAnsi="宋体" w:cs="宋体"/>
                <w:kern w:val="0"/>
                <w:szCs w:val="21"/>
              </w:rPr>
              <w:t>不应附有采购人不能接受的条件。</w:t>
            </w:r>
          </w:p>
        </w:tc>
      </w:tr>
      <w:tr w14:paraId="018E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tcPr>
          <w:p w14:paraId="5DA895E1">
            <w:pPr>
              <w:spacing w:line="360" w:lineRule="exact"/>
              <w:jc w:val="center"/>
              <w:rPr>
                <w:rFonts w:ascii="宋体" w:hAnsi="宋体" w:cs="宋体"/>
                <w:szCs w:val="21"/>
              </w:rPr>
            </w:pPr>
          </w:p>
        </w:tc>
        <w:tc>
          <w:tcPr>
            <w:tcW w:w="826" w:type="dxa"/>
            <w:vMerge w:val="continue"/>
          </w:tcPr>
          <w:p w14:paraId="4F2CE5AB">
            <w:pPr>
              <w:spacing w:line="360" w:lineRule="exact"/>
              <w:jc w:val="center"/>
              <w:rPr>
                <w:rFonts w:ascii="宋体" w:hAnsi="宋体" w:cs="宋体"/>
                <w:szCs w:val="21"/>
              </w:rPr>
            </w:pPr>
          </w:p>
        </w:tc>
        <w:tc>
          <w:tcPr>
            <w:tcW w:w="2574" w:type="dxa"/>
            <w:gridSpan w:val="3"/>
            <w:vAlign w:val="center"/>
          </w:tcPr>
          <w:p w14:paraId="7B354649">
            <w:pPr>
              <w:spacing w:line="360" w:lineRule="exact"/>
              <w:jc w:val="center"/>
              <w:rPr>
                <w:rFonts w:ascii="宋体" w:hAnsi="宋体" w:cs="宋体"/>
                <w:szCs w:val="21"/>
              </w:rPr>
            </w:pPr>
            <w:r>
              <w:rPr>
                <w:rFonts w:hint="eastAsia" w:ascii="宋体" w:hAnsi="宋体" w:cs="宋体"/>
                <w:szCs w:val="21"/>
              </w:rPr>
              <w:t>实质性要求</w:t>
            </w:r>
          </w:p>
        </w:tc>
        <w:tc>
          <w:tcPr>
            <w:tcW w:w="5150" w:type="dxa"/>
            <w:vAlign w:val="center"/>
          </w:tcPr>
          <w:p w14:paraId="4BB39852">
            <w:pPr>
              <w:adjustRightInd w:val="0"/>
              <w:snapToGrid w:val="0"/>
              <w:spacing w:line="360" w:lineRule="exact"/>
              <w:ind w:firstLine="420" w:firstLineChars="200"/>
              <w:rPr>
                <w:rFonts w:ascii="宋体" w:hAnsi="宋体" w:cs="宋体"/>
                <w:kern w:val="0"/>
                <w:szCs w:val="21"/>
              </w:rPr>
            </w:pPr>
            <w:r>
              <w:rPr>
                <w:rFonts w:hint="eastAsia" w:ascii="宋体" w:hAnsi="宋体" w:cs="宋体"/>
                <w:kern w:val="0"/>
                <w:szCs w:val="21"/>
              </w:rPr>
              <w:t>符合</w:t>
            </w:r>
            <w:r>
              <w:rPr>
                <w:rFonts w:hint="eastAsia" w:ascii="宋体" w:hAnsi="宋体" w:cs="宋体"/>
                <w:szCs w:val="21"/>
                <w:lang w:eastAsia="zh-CN"/>
              </w:rPr>
              <w:t>竞争谈判</w:t>
            </w:r>
            <w:r>
              <w:rPr>
                <w:rFonts w:hint="eastAsia" w:ascii="宋体" w:hAnsi="宋体" w:cs="宋体"/>
                <w:kern w:val="0"/>
                <w:szCs w:val="21"/>
                <w:lang w:eastAsia="zh-CN"/>
              </w:rPr>
              <w:t>文件</w:t>
            </w:r>
            <w:r>
              <w:rPr>
                <w:rFonts w:hint="eastAsia" w:ascii="宋体" w:hAnsi="宋体" w:cs="宋体"/>
                <w:kern w:val="0"/>
                <w:szCs w:val="21"/>
              </w:rPr>
              <w:t>中规定的其他实质性要求。</w:t>
            </w:r>
          </w:p>
        </w:tc>
      </w:tr>
      <w:tr w14:paraId="325C1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Align w:val="center"/>
          </w:tcPr>
          <w:p w14:paraId="72E6193E">
            <w:pPr>
              <w:snapToGrid w:val="0"/>
              <w:spacing w:line="360" w:lineRule="auto"/>
              <w:jc w:val="center"/>
              <w:rPr>
                <w:rFonts w:ascii="宋体" w:hAnsi="宋体"/>
              </w:rPr>
            </w:pPr>
            <w:r>
              <w:rPr>
                <w:rFonts w:hint="eastAsia" w:ascii="宋体" w:hAnsi="宋体"/>
              </w:rPr>
              <w:t>2.2.1</w:t>
            </w:r>
          </w:p>
        </w:tc>
        <w:tc>
          <w:tcPr>
            <w:tcW w:w="3400" w:type="dxa"/>
            <w:gridSpan w:val="4"/>
            <w:vAlign w:val="center"/>
          </w:tcPr>
          <w:p w14:paraId="0EEEEB82">
            <w:pPr>
              <w:snapToGrid w:val="0"/>
              <w:spacing w:line="360" w:lineRule="auto"/>
              <w:jc w:val="center"/>
              <w:rPr>
                <w:rFonts w:ascii="宋体" w:hAnsi="宋体" w:cs="宋体"/>
                <w:kern w:val="0"/>
              </w:rPr>
            </w:pPr>
            <w:r>
              <w:rPr>
                <w:rFonts w:hint="eastAsia" w:ascii="宋体" w:hAnsi="宋体" w:cs="宋体"/>
                <w:kern w:val="0"/>
              </w:rPr>
              <w:t>分值构成</w:t>
            </w:r>
          </w:p>
          <w:p w14:paraId="3FFD5CFB">
            <w:pPr>
              <w:snapToGrid w:val="0"/>
              <w:spacing w:line="360" w:lineRule="auto"/>
              <w:jc w:val="center"/>
              <w:rPr>
                <w:rFonts w:ascii="宋体" w:hAnsi="宋体" w:cs="宋体"/>
                <w:kern w:val="0"/>
              </w:rPr>
            </w:pPr>
            <w:r>
              <w:rPr>
                <w:rFonts w:hint="eastAsia" w:ascii="宋体" w:hAnsi="宋体" w:cs="宋体"/>
                <w:kern w:val="0"/>
              </w:rPr>
              <w:t>（总分100分）</w:t>
            </w:r>
          </w:p>
        </w:tc>
        <w:tc>
          <w:tcPr>
            <w:tcW w:w="5150" w:type="dxa"/>
            <w:vAlign w:val="center"/>
          </w:tcPr>
          <w:p w14:paraId="22FCF45D">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技术部分</w:t>
            </w:r>
            <w:r>
              <w:rPr>
                <w:rFonts w:hint="eastAsia" w:ascii="宋体" w:hAnsi="宋体"/>
                <w:color w:val="auto"/>
                <w:kern w:val="0"/>
                <w:highlight w:val="none"/>
                <w:u w:val="single"/>
                <w:lang w:val="en-US" w:eastAsia="zh-CN"/>
              </w:rPr>
              <w:t xml:space="preserve">  </w:t>
            </w:r>
            <w:r>
              <w:rPr>
                <w:rFonts w:hint="eastAsia" w:ascii="宋体" w:hAnsi="宋体"/>
                <w:color w:val="auto"/>
                <w:kern w:val="0"/>
                <w:highlight w:val="yellow"/>
                <w:u w:val="single"/>
                <w:lang w:val="en-US" w:eastAsia="zh-CN"/>
              </w:rPr>
              <w:t>27</w:t>
            </w:r>
            <w:r>
              <w:rPr>
                <w:rFonts w:hint="eastAsia" w:ascii="宋体" w:hAnsi="宋体"/>
                <w:color w:val="auto"/>
                <w:kern w:val="0"/>
                <w:highlight w:val="none"/>
                <w:u w:val="single"/>
                <w:lang w:val="en-US" w:eastAsia="zh-CN"/>
              </w:rPr>
              <w:t xml:space="preserve">  </w:t>
            </w:r>
            <w:r>
              <w:rPr>
                <w:rFonts w:ascii="宋体" w:hAnsi="宋体"/>
                <w:color w:val="auto"/>
                <w:kern w:val="0"/>
                <w:highlight w:val="none"/>
              </w:rPr>
              <w:t>分</w:t>
            </w:r>
            <w:r>
              <w:rPr>
                <w:rFonts w:hint="eastAsia" w:ascii="宋体" w:hAnsi="宋体"/>
                <w:color w:val="auto"/>
                <w:kern w:val="0"/>
                <w:highlight w:val="none"/>
              </w:rPr>
              <w:t>；</w:t>
            </w:r>
          </w:p>
          <w:p w14:paraId="732C0AFE">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商务部分</w:t>
            </w:r>
            <w:r>
              <w:rPr>
                <w:rFonts w:hint="eastAsia" w:ascii="宋体" w:hAnsi="宋体"/>
                <w:color w:val="auto"/>
                <w:kern w:val="0"/>
                <w:highlight w:val="none"/>
                <w:u w:val="single"/>
                <w:lang w:val="en-US" w:eastAsia="zh-CN"/>
              </w:rPr>
              <w:t xml:space="preserve"> </w:t>
            </w:r>
            <w:r>
              <w:rPr>
                <w:rFonts w:hint="eastAsia" w:ascii="宋体" w:hAnsi="宋体"/>
                <w:color w:val="auto"/>
                <w:kern w:val="0"/>
                <w:highlight w:val="yellow"/>
                <w:u w:val="single"/>
                <w:lang w:val="en-US" w:eastAsia="zh-CN"/>
              </w:rPr>
              <w:t xml:space="preserve"> 8 </w:t>
            </w:r>
            <w:r>
              <w:rPr>
                <w:rFonts w:hint="eastAsia" w:ascii="宋体" w:hAnsi="宋体"/>
                <w:color w:val="auto"/>
                <w:kern w:val="0"/>
                <w:highlight w:val="none"/>
                <w:u w:val="single"/>
                <w:lang w:val="en-US" w:eastAsia="zh-CN"/>
              </w:rPr>
              <w:t xml:space="preserve"> </w:t>
            </w:r>
            <w:r>
              <w:rPr>
                <w:rFonts w:ascii="宋体" w:hAnsi="宋体"/>
                <w:color w:val="auto"/>
                <w:kern w:val="0"/>
                <w:highlight w:val="none"/>
              </w:rPr>
              <w:t>分</w:t>
            </w:r>
            <w:r>
              <w:rPr>
                <w:rFonts w:hint="eastAsia" w:ascii="宋体" w:hAnsi="宋体"/>
                <w:color w:val="auto"/>
                <w:kern w:val="0"/>
                <w:highlight w:val="none"/>
              </w:rPr>
              <w:t>；</w:t>
            </w:r>
          </w:p>
          <w:p w14:paraId="625C33B1">
            <w:pPr>
              <w:adjustRightInd w:val="0"/>
              <w:snapToGrid w:val="0"/>
              <w:spacing w:line="360" w:lineRule="exact"/>
              <w:ind w:firstLine="420" w:firstLineChars="200"/>
              <w:jc w:val="left"/>
              <w:rPr>
                <w:rFonts w:ascii="宋体" w:hAnsi="宋体" w:cs="宋体"/>
                <w:kern w:val="0"/>
                <w:szCs w:val="21"/>
              </w:rPr>
            </w:pPr>
            <w:r>
              <w:rPr>
                <w:rFonts w:hint="eastAsia" w:ascii="宋体" w:hAnsi="宋体"/>
                <w:color w:val="auto"/>
                <w:kern w:val="0"/>
                <w:highlight w:val="none"/>
                <w:lang w:val="en-US" w:eastAsia="zh-CN"/>
              </w:rPr>
              <w:t>3</w:t>
            </w:r>
            <w:r>
              <w:rPr>
                <w:rFonts w:hint="eastAsia" w:ascii="宋体" w:hAnsi="宋体"/>
                <w:color w:val="auto"/>
                <w:kern w:val="0"/>
                <w:highlight w:val="none"/>
              </w:rPr>
              <w:t>.投标报价</w:t>
            </w:r>
            <w:r>
              <w:rPr>
                <w:rFonts w:hint="eastAsia" w:ascii="宋体" w:hAnsi="宋体"/>
                <w:color w:val="auto"/>
                <w:kern w:val="0"/>
                <w:highlight w:val="none"/>
                <w:u w:val="single"/>
              </w:rPr>
              <w:t xml:space="preserve">  </w:t>
            </w:r>
            <w:r>
              <w:rPr>
                <w:rFonts w:hint="eastAsia" w:ascii="宋体" w:hAnsi="宋体"/>
                <w:color w:val="auto"/>
                <w:kern w:val="0"/>
                <w:highlight w:val="yellow"/>
                <w:u w:val="single"/>
                <w:lang w:val="en-US" w:eastAsia="zh-CN"/>
              </w:rPr>
              <w:t xml:space="preserve">65 </w:t>
            </w:r>
            <w:r>
              <w:rPr>
                <w:rFonts w:hint="eastAsia" w:ascii="宋体" w:hAnsi="宋体"/>
                <w:color w:val="auto"/>
                <w:kern w:val="0"/>
                <w:highlight w:val="none"/>
                <w:u w:val="single"/>
              </w:rPr>
              <w:t xml:space="preserve"> </w:t>
            </w:r>
            <w:r>
              <w:rPr>
                <w:rFonts w:hint="eastAsia" w:ascii="宋体" w:hAnsi="宋体"/>
                <w:color w:val="auto"/>
                <w:kern w:val="0"/>
                <w:highlight w:val="none"/>
              </w:rPr>
              <w:t>分。</w:t>
            </w:r>
          </w:p>
        </w:tc>
      </w:tr>
      <w:tr w14:paraId="6F165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jc w:val="center"/>
        </w:trPr>
        <w:tc>
          <w:tcPr>
            <w:tcW w:w="810" w:type="dxa"/>
            <w:vAlign w:val="center"/>
          </w:tcPr>
          <w:p w14:paraId="283DB874">
            <w:pPr>
              <w:snapToGrid w:val="0"/>
              <w:spacing w:line="360" w:lineRule="auto"/>
              <w:rPr>
                <w:rFonts w:ascii="宋体" w:hAnsi="宋体"/>
              </w:rPr>
            </w:pPr>
            <w:r>
              <w:rPr>
                <w:rFonts w:hint="eastAsia" w:ascii="宋体" w:hAnsi="宋体"/>
              </w:rPr>
              <w:t>2.2.2</w:t>
            </w:r>
          </w:p>
        </w:tc>
        <w:tc>
          <w:tcPr>
            <w:tcW w:w="1542" w:type="dxa"/>
            <w:gridSpan w:val="2"/>
            <w:vAlign w:val="center"/>
          </w:tcPr>
          <w:p w14:paraId="1C8FA9BA">
            <w:pPr>
              <w:adjustRightInd w:val="0"/>
              <w:snapToGrid w:val="0"/>
              <w:spacing w:line="360" w:lineRule="exact"/>
              <w:jc w:val="center"/>
              <w:rPr>
                <w:rFonts w:hint="eastAsia" w:ascii="宋体" w:hAnsi="宋体" w:cs="宋体"/>
                <w:kern w:val="0"/>
                <w:szCs w:val="21"/>
              </w:rPr>
            </w:pPr>
            <w:r>
              <w:rPr>
                <w:rFonts w:hint="eastAsia" w:ascii="宋体" w:hAnsi="宋体" w:cs="宋体"/>
                <w:kern w:val="0"/>
                <w:szCs w:val="21"/>
              </w:rPr>
              <w:t>评审基准价</w:t>
            </w:r>
          </w:p>
          <w:p w14:paraId="00060C43">
            <w:pPr>
              <w:adjustRightInd w:val="0"/>
              <w:snapToGrid w:val="0"/>
              <w:spacing w:line="360" w:lineRule="exact"/>
              <w:jc w:val="center"/>
              <w:rPr>
                <w:rFonts w:ascii="宋体" w:hAnsi="宋体" w:cs="宋体"/>
                <w:kern w:val="0"/>
                <w:szCs w:val="21"/>
              </w:rPr>
            </w:pPr>
            <w:r>
              <w:rPr>
                <w:rFonts w:hint="eastAsia" w:ascii="宋体" w:hAnsi="宋体" w:cs="宋体"/>
                <w:kern w:val="0"/>
                <w:szCs w:val="21"/>
              </w:rPr>
              <w:t>计算方法</w:t>
            </w:r>
          </w:p>
        </w:tc>
        <w:tc>
          <w:tcPr>
            <w:tcW w:w="1858" w:type="dxa"/>
            <w:gridSpan w:val="2"/>
            <w:vAlign w:val="center"/>
          </w:tcPr>
          <w:p w14:paraId="3EA855D9">
            <w:pPr>
              <w:adjustRightInd w:val="0"/>
              <w:snapToGrid w:val="0"/>
              <w:spacing w:line="360" w:lineRule="exact"/>
              <w:ind w:right="113" w:rightChars="0"/>
              <w:jc w:val="center"/>
              <w:rPr>
                <w:rFonts w:hint="eastAsia" w:ascii="宋体" w:hAnsi="宋体" w:cs="宋体"/>
                <w:kern w:val="0"/>
                <w:szCs w:val="21"/>
              </w:rPr>
            </w:pPr>
            <w:r>
              <w:rPr>
                <w:rFonts w:hint="eastAsia" w:ascii="宋体" w:hAnsi="宋体" w:cs="宋体"/>
                <w:kern w:val="0"/>
                <w:szCs w:val="21"/>
                <w:lang w:eastAsia="zh-CN"/>
              </w:rPr>
              <w:t>谈判</w:t>
            </w:r>
            <w:r>
              <w:rPr>
                <w:rFonts w:hint="eastAsia" w:ascii="宋体" w:hAnsi="宋体" w:cs="宋体"/>
                <w:kern w:val="0"/>
                <w:szCs w:val="21"/>
              </w:rPr>
              <w:t>总报价</w:t>
            </w:r>
          </w:p>
        </w:tc>
        <w:tc>
          <w:tcPr>
            <w:tcW w:w="5150" w:type="dxa"/>
            <w:vAlign w:val="center"/>
          </w:tcPr>
          <w:p w14:paraId="5D7861FD">
            <w:pPr>
              <w:adjustRightInd w:val="0"/>
              <w:snapToGrid w:val="0"/>
              <w:spacing w:line="360" w:lineRule="exact"/>
              <w:ind w:firstLine="420" w:firstLineChars="200"/>
              <w:jc w:val="left"/>
              <w:rPr>
                <w:rFonts w:hint="default" w:ascii="宋体" w:hAnsi="宋体" w:eastAsia="宋体" w:cs="宋体"/>
                <w:kern w:val="0"/>
                <w:szCs w:val="21"/>
                <w:lang w:val="en-US" w:eastAsia="zh-CN"/>
              </w:rPr>
            </w:pPr>
            <w:r>
              <w:rPr>
                <w:rFonts w:hint="eastAsia" w:ascii="宋体" w:hAnsi="宋体" w:cs="宋体"/>
                <w:kern w:val="0"/>
                <w:szCs w:val="21"/>
              </w:rPr>
              <w:t>通过初步评审合格的供应商（采购人设有最高限价的，则</w:t>
            </w:r>
            <w:r>
              <w:rPr>
                <w:rFonts w:hint="eastAsia" w:ascii="宋体" w:hAnsi="宋体" w:cs="宋体"/>
                <w:kern w:val="0"/>
                <w:szCs w:val="21"/>
                <w:lang w:eastAsia="zh-CN"/>
              </w:rPr>
              <w:t>谈判</w:t>
            </w:r>
            <w:r>
              <w:rPr>
                <w:rFonts w:hint="eastAsia" w:ascii="宋体" w:hAnsi="宋体" w:cs="宋体"/>
                <w:kern w:val="0"/>
                <w:szCs w:val="21"/>
              </w:rPr>
              <w:t>总报价高于最高限价</w:t>
            </w:r>
            <w:r>
              <w:rPr>
                <w:rFonts w:hint="eastAsia" w:ascii="宋体" w:hAnsi="宋体" w:cs="宋体"/>
                <w:kern w:val="0"/>
                <w:szCs w:val="21"/>
                <w:lang w:eastAsia="zh-CN"/>
              </w:rPr>
              <w:t>或低于最低限价</w:t>
            </w:r>
            <w:r>
              <w:rPr>
                <w:rFonts w:hint="eastAsia" w:ascii="宋体" w:hAnsi="宋体" w:cs="宋体"/>
                <w:kern w:val="0"/>
                <w:szCs w:val="21"/>
              </w:rPr>
              <w:t>的除外）的</w:t>
            </w:r>
            <w:r>
              <w:rPr>
                <w:rFonts w:hint="eastAsia" w:ascii="宋体" w:hAnsi="宋体" w:cs="宋体"/>
                <w:kern w:val="0"/>
                <w:szCs w:val="21"/>
                <w:lang w:eastAsia="zh-CN"/>
              </w:rPr>
              <w:t>报价后的</w:t>
            </w:r>
            <w:r>
              <w:rPr>
                <w:rFonts w:hint="eastAsia"/>
              </w:rPr>
              <w:t>最低报价</w:t>
            </w:r>
            <w:r>
              <w:rPr>
                <w:rFonts w:hint="eastAsia" w:ascii="宋体" w:hAnsi="宋体" w:cs="宋体"/>
                <w:kern w:val="0"/>
                <w:szCs w:val="21"/>
              </w:rPr>
              <w:t>为评选基准价。</w:t>
            </w:r>
            <w:r>
              <w:rPr>
                <w:rFonts w:hint="eastAsia" w:ascii="宋体" w:hAnsi="宋体" w:cs="宋体"/>
                <w:kern w:val="0"/>
                <w:szCs w:val="21"/>
                <w:lang w:val="en-US" w:eastAsia="zh-CN"/>
              </w:rPr>
              <w:t>最低报价得65分。</w:t>
            </w:r>
          </w:p>
          <w:p w14:paraId="67B7FFC9">
            <w:pPr>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以上计算取小数点后两位，第三位四舍五入。</w:t>
            </w:r>
          </w:p>
        </w:tc>
      </w:tr>
      <w:tr w14:paraId="57E01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Align w:val="center"/>
          </w:tcPr>
          <w:p w14:paraId="639363E7">
            <w:pPr>
              <w:snapToGrid w:val="0"/>
              <w:spacing w:line="360" w:lineRule="auto"/>
              <w:jc w:val="center"/>
              <w:rPr>
                <w:rFonts w:ascii="宋体" w:hAnsi="宋体"/>
              </w:rPr>
            </w:pPr>
            <w:r>
              <w:rPr>
                <w:rFonts w:hint="eastAsia" w:ascii="宋体" w:hAnsi="宋体"/>
              </w:rPr>
              <w:t>2.2.3</w:t>
            </w:r>
          </w:p>
        </w:tc>
        <w:tc>
          <w:tcPr>
            <w:tcW w:w="3400" w:type="dxa"/>
            <w:gridSpan w:val="4"/>
            <w:vAlign w:val="center"/>
          </w:tcPr>
          <w:p w14:paraId="4A0BCDC6">
            <w:pPr>
              <w:adjustRightInd w:val="0"/>
              <w:snapToGrid w:val="0"/>
              <w:spacing w:line="360" w:lineRule="exact"/>
              <w:jc w:val="center"/>
              <w:rPr>
                <w:rFonts w:ascii="宋体" w:hAnsi="宋体" w:cs="宋体"/>
                <w:kern w:val="0"/>
                <w:szCs w:val="21"/>
              </w:rPr>
            </w:pPr>
            <w:r>
              <w:rPr>
                <w:rFonts w:hint="eastAsia" w:ascii="宋体" w:hAnsi="宋体" w:cs="宋体"/>
                <w:kern w:val="0"/>
                <w:szCs w:val="21"/>
                <w:lang w:eastAsia="zh-CN"/>
              </w:rPr>
              <w:t>谈判</w:t>
            </w:r>
            <w:r>
              <w:rPr>
                <w:rFonts w:hint="eastAsia" w:ascii="宋体" w:hAnsi="宋体" w:cs="宋体"/>
                <w:kern w:val="0"/>
                <w:szCs w:val="21"/>
              </w:rPr>
              <w:t>总报价偏差率计算公式</w:t>
            </w:r>
          </w:p>
        </w:tc>
        <w:tc>
          <w:tcPr>
            <w:tcW w:w="5150" w:type="dxa"/>
            <w:vAlign w:val="center"/>
          </w:tcPr>
          <w:p w14:paraId="63666258">
            <w:pPr>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偏差率=1OO%×(供应商报价一评选基准价)／评选基准价</w:t>
            </w:r>
          </w:p>
          <w:p w14:paraId="7B8B8718">
            <w:pPr>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偏差率计算保留小数点后两位，小数点后第三位“四舍五入”。</w:t>
            </w:r>
          </w:p>
        </w:tc>
      </w:tr>
      <w:tr w14:paraId="6BDC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10" w:type="dxa"/>
            <w:vAlign w:val="center"/>
          </w:tcPr>
          <w:p w14:paraId="5DAA033B">
            <w:pPr>
              <w:spacing w:line="360" w:lineRule="exact"/>
              <w:jc w:val="center"/>
              <w:rPr>
                <w:rFonts w:ascii="宋体" w:hAnsi="宋体" w:cs="宋体"/>
                <w:szCs w:val="21"/>
              </w:rPr>
            </w:pPr>
            <w:r>
              <w:rPr>
                <w:rFonts w:hint="eastAsia" w:ascii="宋体" w:hAnsi="宋体" w:cs="宋体"/>
                <w:szCs w:val="21"/>
              </w:rPr>
              <w:t>2.2.4（1）</w:t>
            </w:r>
          </w:p>
        </w:tc>
        <w:tc>
          <w:tcPr>
            <w:tcW w:w="826" w:type="dxa"/>
            <w:vAlign w:val="center"/>
          </w:tcPr>
          <w:p w14:paraId="1563AC99">
            <w:pPr>
              <w:spacing w:line="360" w:lineRule="exact"/>
              <w:jc w:val="center"/>
              <w:rPr>
                <w:rFonts w:ascii="宋体" w:hAnsi="宋体" w:cs="宋体"/>
                <w:szCs w:val="21"/>
              </w:rPr>
            </w:pPr>
            <w:r>
              <w:rPr>
                <w:rFonts w:hint="eastAsia" w:ascii="宋体" w:hAnsi="宋体" w:cs="宋体"/>
                <w:szCs w:val="21"/>
              </w:rPr>
              <w:t>详细评分方法</w:t>
            </w:r>
          </w:p>
        </w:tc>
        <w:tc>
          <w:tcPr>
            <w:tcW w:w="754" w:type="dxa"/>
            <w:gridSpan w:val="2"/>
            <w:vAlign w:val="center"/>
          </w:tcPr>
          <w:p w14:paraId="76843549">
            <w:pPr>
              <w:spacing w:line="360" w:lineRule="exact"/>
              <w:jc w:val="center"/>
              <w:rPr>
                <w:rFonts w:ascii="宋体" w:hAnsi="宋体" w:cs="宋体"/>
                <w:szCs w:val="21"/>
              </w:rPr>
            </w:pPr>
            <w:r>
              <w:rPr>
                <w:rFonts w:hint="eastAsia" w:ascii="宋体" w:hAnsi="宋体" w:cs="宋体"/>
                <w:szCs w:val="21"/>
                <w:lang w:eastAsia="zh-CN"/>
              </w:rPr>
              <w:t>谈判</w:t>
            </w:r>
            <w:r>
              <w:rPr>
                <w:rFonts w:hint="eastAsia" w:ascii="宋体" w:hAnsi="宋体" w:cs="宋体"/>
                <w:szCs w:val="21"/>
              </w:rPr>
              <w:t>报价</w:t>
            </w:r>
            <w:r>
              <w:rPr>
                <w:rFonts w:hint="eastAsia" w:ascii="宋体" w:hAnsi="宋体" w:cs="宋体"/>
                <w:kern w:val="0"/>
              </w:rPr>
              <w:t>（A）</w:t>
            </w:r>
          </w:p>
        </w:tc>
        <w:tc>
          <w:tcPr>
            <w:tcW w:w="1820" w:type="dxa"/>
            <w:vAlign w:val="center"/>
          </w:tcPr>
          <w:p w14:paraId="5FB57A76">
            <w:pPr>
              <w:spacing w:line="360" w:lineRule="exact"/>
              <w:jc w:val="center"/>
              <w:rPr>
                <w:rFonts w:hint="eastAsia" w:ascii="宋体" w:hAnsi="宋体" w:cs="宋体"/>
                <w:kern w:val="0"/>
                <w:szCs w:val="21"/>
              </w:rPr>
            </w:pPr>
            <w:r>
              <w:rPr>
                <w:rFonts w:hint="eastAsia" w:ascii="宋体" w:hAnsi="宋体" w:cs="宋体"/>
                <w:kern w:val="0"/>
                <w:szCs w:val="21"/>
                <w:lang w:eastAsia="zh-CN"/>
              </w:rPr>
              <w:t>谈判</w:t>
            </w:r>
            <w:r>
              <w:rPr>
                <w:rFonts w:hint="eastAsia" w:ascii="宋体" w:hAnsi="宋体" w:cs="宋体"/>
                <w:kern w:val="0"/>
                <w:szCs w:val="21"/>
              </w:rPr>
              <w:t>总报价</w:t>
            </w:r>
          </w:p>
          <w:p w14:paraId="3464B622">
            <w:pPr>
              <w:spacing w:line="360" w:lineRule="exact"/>
              <w:jc w:val="center"/>
              <w:rPr>
                <w:rFonts w:ascii="宋体" w:hAnsi="宋体" w:cs="宋体"/>
                <w:szCs w:val="21"/>
              </w:rPr>
            </w:pPr>
            <w:r>
              <w:rPr>
                <w:rFonts w:hint="eastAsia" w:ascii="宋体" w:hAnsi="宋体" w:cs="宋体"/>
                <w:kern w:val="0"/>
                <w:szCs w:val="21"/>
                <w:lang w:eastAsia="zh-CN"/>
              </w:rPr>
              <w:t>（</w:t>
            </w:r>
            <w:r>
              <w:rPr>
                <w:rFonts w:hint="eastAsia" w:ascii="宋体" w:hAnsi="宋体" w:cs="宋体"/>
                <w:szCs w:val="21"/>
                <w:lang w:val="en-US" w:eastAsia="zh-CN"/>
              </w:rPr>
              <w:t>65</w:t>
            </w:r>
            <w:r>
              <w:rPr>
                <w:rFonts w:hint="eastAsia" w:ascii="宋体" w:hAnsi="宋体" w:cs="宋体"/>
                <w:szCs w:val="21"/>
              </w:rPr>
              <w:t>分</w:t>
            </w:r>
            <w:r>
              <w:rPr>
                <w:rFonts w:hint="eastAsia" w:ascii="宋体" w:hAnsi="宋体" w:cs="宋体"/>
                <w:kern w:val="0"/>
                <w:szCs w:val="21"/>
                <w:lang w:eastAsia="zh-CN"/>
              </w:rPr>
              <w:t>）</w:t>
            </w:r>
          </w:p>
        </w:tc>
        <w:tc>
          <w:tcPr>
            <w:tcW w:w="5150" w:type="dxa"/>
            <w:vAlign w:val="center"/>
          </w:tcPr>
          <w:p w14:paraId="3797D4BD">
            <w:pPr>
              <w:adjustRightInd w:val="0"/>
              <w:snapToGrid w:val="0"/>
              <w:spacing w:line="360" w:lineRule="exact"/>
              <w:ind w:firstLine="420" w:firstLineChars="200"/>
              <w:jc w:val="left"/>
            </w:pPr>
            <w:r>
              <w:rPr>
                <w:rFonts w:hint="eastAsia" w:ascii="宋体" w:hAnsi="宋体" w:cs="宋体"/>
                <w:kern w:val="0"/>
                <w:szCs w:val="21"/>
              </w:rPr>
              <w:t>初步审查合格供应商的</w:t>
            </w:r>
            <w:r>
              <w:rPr>
                <w:rFonts w:hint="eastAsia" w:ascii="宋体" w:hAnsi="宋体" w:cs="宋体"/>
                <w:kern w:val="0"/>
                <w:szCs w:val="21"/>
                <w:lang w:eastAsia="zh-CN"/>
              </w:rPr>
              <w:t>谈判</w:t>
            </w:r>
            <w:r>
              <w:rPr>
                <w:rFonts w:hint="eastAsia" w:ascii="宋体" w:hAnsi="宋体" w:cs="宋体"/>
                <w:kern w:val="0"/>
                <w:szCs w:val="21"/>
              </w:rPr>
              <w:t>总报价得</w:t>
            </w:r>
            <w:r>
              <w:rPr>
                <w:rFonts w:hint="eastAsia" w:ascii="宋体" w:hAnsi="宋体" w:cs="宋体"/>
                <w:bCs/>
                <w:kern w:val="0"/>
                <w:szCs w:val="21"/>
              </w:rPr>
              <w:t>本附表2.2.1规定分值的满分</w:t>
            </w:r>
            <w:r>
              <w:rPr>
                <w:rFonts w:hint="eastAsia" w:ascii="宋体" w:hAnsi="宋体" w:cs="宋体"/>
                <w:bCs/>
                <w:kern w:val="0"/>
                <w:szCs w:val="21"/>
                <w:u w:val="single"/>
              </w:rPr>
              <w:t>6</w:t>
            </w:r>
            <w:r>
              <w:rPr>
                <w:rFonts w:hint="eastAsia" w:ascii="宋体" w:hAnsi="宋体" w:cs="宋体"/>
                <w:bCs/>
                <w:kern w:val="0"/>
                <w:szCs w:val="21"/>
                <w:u w:val="single"/>
                <w:lang w:val="en-US" w:eastAsia="zh-CN"/>
              </w:rPr>
              <w:t>5</w:t>
            </w:r>
            <w:r>
              <w:rPr>
                <w:rFonts w:hint="eastAsia" w:ascii="宋体" w:hAnsi="宋体" w:cs="宋体"/>
                <w:kern w:val="0"/>
                <w:szCs w:val="21"/>
              </w:rPr>
              <w:t>分。在此基础上，</w:t>
            </w:r>
            <w:r>
              <w:rPr>
                <w:rFonts w:hint="eastAsia" w:ascii="宋体" w:hAnsi="宋体" w:cs="宋体"/>
                <w:kern w:val="0"/>
                <w:szCs w:val="21"/>
                <w:lang w:eastAsia="zh-CN"/>
              </w:rPr>
              <w:t>谈判</w:t>
            </w:r>
            <w:r>
              <w:rPr>
                <w:rFonts w:hint="eastAsia" w:ascii="宋体" w:hAnsi="宋体" w:cs="宋体"/>
                <w:kern w:val="0"/>
                <w:szCs w:val="21"/>
              </w:rPr>
              <w:t>总报价与评选准基价相比，</w:t>
            </w:r>
            <w:r>
              <w:rPr>
                <w:rFonts w:hint="eastAsia"/>
              </w:rPr>
              <w:t>每增加1%扣</w:t>
            </w:r>
            <w:r>
              <w:rPr>
                <w:rFonts w:hint="eastAsia"/>
                <w:lang w:val="en-US" w:eastAsia="zh-CN"/>
              </w:rPr>
              <w:t>1</w:t>
            </w:r>
            <w:r>
              <w:rPr>
                <w:rFonts w:hint="eastAsia"/>
              </w:rPr>
              <w:t>分，扣完为止。</w:t>
            </w:r>
          </w:p>
          <w:p w14:paraId="3DE7261D">
            <w:pPr>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按插入法计算得分；得分保留到小数点后两位，小数点后第三位“四舍五入”。</w:t>
            </w:r>
          </w:p>
        </w:tc>
      </w:tr>
      <w:tr w14:paraId="6151B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810" w:type="dxa"/>
            <w:vMerge w:val="restart"/>
            <w:vAlign w:val="center"/>
          </w:tcPr>
          <w:p w14:paraId="5C74BA3B">
            <w:pPr>
              <w:spacing w:line="360" w:lineRule="exact"/>
              <w:jc w:val="center"/>
              <w:rPr>
                <w:rFonts w:hint="default" w:ascii="宋体" w:hAnsi="宋体" w:eastAsia="宋体" w:cs="宋体"/>
                <w:szCs w:val="21"/>
                <w:lang w:val="en-US" w:eastAsia="zh-CN"/>
              </w:rPr>
            </w:pPr>
            <w:r>
              <w:rPr>
                <w:rFonts w:hint="eastAsia" w:ascii="宋体" w:hAnsi="宋体" w:cs="宋体"/>
                <w:szCs w:val="21"/>
                <w:lang w:val="en-US" w:eastAsia="zh-CN"/>
              </w:rPr>
              <w:t>2.2.4（2）</w:t>
            </w:r>
          </w:p>
        </w:tc>
        <w:tc>
          <w:tcPr>
            <w:tcW w:w="826" w:type="dxa"/>
            <w:vMerge w:val="restart"/>
            <w:vAlign w:val="center"/>
          </w:tcPr>
          <w:p w14:paraId="78C59D51">
            <w:pPr>
              <w:snapToGrid w:val="0"/>
              <w:spacing w:line="360" w:lineRule="auto"/>
              <w:jc w:val="center"/>
              <w:rPr>
                <w:rFonts w:hint="eastAsia" w:ascii="宋体" w:hAnsi="宋体" w:cs="宋体"/>
                <w:szCs w:val="21"/>
              </w:rPr>
            </w:pPr>
            <w:r>
              <w:rPr>
                <w:rFonts w:hint="eastAsia" w:ascii="宋体" w:hAnsi="宋体"/>
              </w:rPr>
              <w:t>详细评审方法</w:t>
            </w:r>
          </w:p>
        </w:tc>
        <w:tc>
          <w:tcPr>
            <w:tcW w:w="754" w:type="dxa"/>
            <w:gridSpan w:val="2"/>
            <w:vMerge w:val="restart"/>
            <w:vAlign w:val="center"/>
          </w:tcPr>
          <w:p w14:paraId="42DA73D9">
            <w:pPr>
              <w:spacing w:line="360" w:lineRule="auto"/>
              <w:jc w:val="center"/>
              <w:rPr>
                <w:rFonts w:hint="eastAsia" w:ascii="宋体" w:hAnsi="宋体" w:cs="宋体"/>
                <w:szCs w:val="21"/>
              </w:rPr>
            </w:pPr>
            <w:r>
              <w:rPr>
                <w:rFonts w:hint="eastAsia" w:ascii="宋体" w:hAnsi="宋体" w:cs="宋体"/>
                <w:kern w:val="0"/>
              </w:rPr>
              <w:t>商务部分（B）</w:t>
            </w:r>
          </w:p>
        </w:tc>
        <w:tc>
          <w:tcPr>
            <w:tcW w:w="1820" w:type="dxa"/>
            <w:vAlign w:val="center"/>
          </w:tcPr>
          <w:p w14:paraId="33AE097B">
            <w:pPr>
              <w:tabs>
                <w:tab w:val="left" w:pos="1875"/>
              </w:tabs>
              <w:spacing w:line="400" w:lineRule="exact"/>
              <w:jc w:val="center"/>
              <w:rPr>
                <w:rFonts w:hint="eastAsia"/>
                <w:color w:val="auto"/>
                <w:szCs w:val="22"/>
                <w:highlight w:val="none"/>
              </w:rPr>
            </w:pPr>
            <w:r>
              <w:rPr>
                <w:rFonts w:hint="eastAsia"/>
                <w:color w:val="auto"/>
                <w:szCs w:val="22"/>
                <w:highlight w:val="none"/>
                <w:lang w:eastAsia="zh-CN"/>
              </w:rPr>
              <w:t>商务</w:t>
            </w:r>
            <w:r>
              <w:rPr>
                <w:rFonts w:hint="eastAsia"/>
                <w:color w:val="auto"/>
                <w:szCs w:val="22"/>
                <w:highlight w:val="none"/>
              </w:rPr>
              <w:t>部分总体</w:t>
            </w:r>
          </w:p>
          <w:p w14:paraId="73E0819B">
            <w:pPr>
              <w:tabs>
                <w:tab w:val="left" w:pos="1875"/>
              </w:tabs>
              <w:spacing w:line="400" w:lineRule="exact"/>
              <w:jc w:val="center"/>
              <w:rPr>
                <w:rFonts w:hint="eastAsia"/>
                <w:color w:val="auto"/>
                <w:szCs w:val="22"/>
                <w:highlight w:val="none"/>
              </w:rPr>
            </w:pPr>
            <w:r>
              <w:rPr>
                <w:rFonts w:hint="eastAsia"/>
                <w:color w:val="auto"/>
                <w:szCs w:val="22"/>
                <w:highlight w:val="none"/>
              </w:rPr>
              <w:t>评审标准</w:t>
            </w:r>
          </w:p>
          <w:p w14:paraId="76C152FC">
            <w:pPr>
              <w:tabs>
                <w:tab w:val="left" w:pos="1875"/>
              </w:tabs>
              <w:spacing w:line="400" w:lineRule="exact"/>
              <w:jc w:val="center"/>
              <w:rPr>
                <w:rFonts w:hint="eastAsia" w:ascii="宋体" w:hAnsi="宋体" w:eastAsia="宋体" w:cs="宋体"/>
                <w:kern w:val="0"/>
                <w:lang w:eastAsia="zh-CN"/>
              </w:rPr>
            </w:pPr>
            <w:r>
              <w:rPr>
                <w:rFonts w:hint="eastAsia"/>
                <w:color w:val="auto"/>
                <w:szCs w:val="22"/>
                <w:highlight w:val="none"/>
                <w:lang w:eastAsia="zh-CN"/>
              </w:rPr>
              <w:t>（</w:t>
            </w:r>
            <w:r>
              <w:rPr>
                <w:rFonts w:hint="eastAsia"/>
                <w:color w:val="auto"/>
                <w:szCs w:val="22"/>
                <w:highlight w:val="none"/>
                <w:lang w:val="en-US" w:eastAsia="zh-CN"/>
              </w:rPr>
              <w:t>8分</w:t>
            </w:r>
            <w:r>
              <w:rPr>
                <w:rFonts w:hint="eastAsia"/>
                <w:color w:val="auto"/>
                <w:szCs w:val="22"/>
                <w:highlight w:val="none"/>
                <w:lang w:eastAsia="zh-CN"/>
              </w:rPr>
              <w:t>）</w:t>
            </w:r>
          </w:p>
        </w:tc>
        <w:tc>
          <w:tcPr>
            <w:tcW w:w="5150" w:type="dxa"/>
            <w:vAlign w:val="center"/>
          </w:tcPr>
          <w:p w14:paraId="3A171BB5">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商务</w:t>
            </w:r>
            <w:r>
              <w:rPr>
                <w:rFonts w:ascii="宋体" w:hAnsi="宋体"/>
                <w:color w:val="auto"/>
                <w:szCs w:val="21"/>
                <w:highlight w:val="none"/>
              </w:rPr>
              <w:t>部分</w:t>
            </w:r>
            <w:r>
              <w:rPr>
                <w:rFonts w:hint="eastAsia" w:ascii="宋体" w:hAnsi="宋体"/>
                <w:color w:val="auto"/>
                <w:szCs w:val="21"/>
                <w:highlight w:val="none"/>
              </w:rPr>
              <w:t>评分为客观评分，</w:t>
            </w:r>
            <w:r>
              <w:rPr>
                <w:rFonts w:ascii="宋体" w:hAnsi="宋体"/>
                <w:color w:val="auto"/>
                <w:szCs w:val="21"/>
                <w:highlight w:val="none"/>
              </w:rPr>
              <w:t>评标委员会按</w:t>
            </w:r>
            <w:r>
              <w:rPr>
                <w:rFonts w:hint="eastAsia" w:ascii="宋体" w:hAnsi="宋体"/>
                <w:color w:val="auto"/>
                <w:szCs w:val="21"/>
                <w:highlight w:val="none"/>
                <w:lang w:eastAsia="zh-CN"/>
              </w:rPr>
              <w:t>以下</w:t>
            </w:r>
            <w:r>
              <w:rPr>
                <w:rFonts w:ascii="宋体" w:hAnsi="宋体"/>
                <w:color w:val="auto"/>
                <w:szCs w:val="21"/>
                <w:highlight w:val="none"/>
              </w:rPr>
              <w:t>各评审因素设定的分值</w:t>
            </w:r>
            <w:r>
              <w:rPr>
                <w:rFonts w:hint="eastAsia" w:ascii="宋体" w:hAnsi="宋体"/>
                <w:color w:val="auto"/>
                <w:szCs w:val="21"/>
                <w:highlight w:val="none"/>
              </w:rPr>
              <w:t>进行</w:t>
            </w:r>
            <w:r>
              <w:rPr>
                <w:rFonts w:ascii="宋体" w:hAnsi="宋体"/>
                <w:color w:val="auto"/>
                <w:szCs w:val="21"/>
                <w:highlight w:val="none"/>
              </w:rPr>
              <w:t>评分</w:t>
            </w:r>
            <w:r>
              <w:rPr>
                <w:rFonts w:hint="eastAsia" w:ascii="宋体" w:hAnsi="宋体"/>
                <w:color w:val="auto"/>
                <w:szCs w:val="21"/>
                <w:highlight w:val="none"/>
                <w:lang w:val="en-US" w:eastAsia="zh-CN"/>
              </w:rPr>
              <w:t>且保证分值统一</w:t>
            </w:r>
            <w:r>
              <w:rPr>
                <w:rFonts w:ascii="宋体" w:hAnsi="宋体"/>
                <w:color w:val="auto"/>
                <w:szCs w:val="21"/>
                <w:highlight w:val="none"/>
              </w:rPr>
              <w:t>。</w:t>
            </w:r>
          </w:p>
          <w:p w14:paraId="0F44246A">
            <w:pPr>
              <w:snapToGrid w:val="0"/>
              <w:spacing w:line="400" w:lineRule="exact"/>
              <w:ind w:firstLine="420" w:firstLineChars="200"/>
              <w:rPr>
                <w:rFonts w:hint="default" w:ascii="宋体" w:hAnsi="宋体"/>
                <w:color w:val="auto"/>
                <w:kern w:val="0"/>
                <w:szCs w:val="21"/>
                <w:highlight w:val="none"/>
                <w:u w:val="single"/>
                <w:lang w:val="en-US" w:eastAsia="zh-CN"/>
              </w:rPr>
            </w:pPr>
            <w:r>
              <w:rPr>
                <w:rFonts w:hint="eastAsia" w:ascii="宋体" w:hAnsi="宋体"/>
                <w:color w:val="auto"/>
                <w:kern w:val="0"/>
                <w:szCs w:val="21"/>
                <w:highlight w:val="none"/>
                <w:u w:val="single"/>
                <w:lang w:val="en-US" w:eastAsia="zh-CN"/>
              </w:rPr>
              <w:t>在</w:t>
            </w:r>
            <w:r>
              <w:rPr>
                <w:rFonts w:ascii="宋体" w:hAnsi="宋体"/>
                <w:color w:val="auto"/>
                <w:kern w:val="0"/>
                <w:szCs w:val="21"/>
                <w:highlight w:val="none"/>
                <w:u w:val="single"/>
              </w:rPr>
              <w:t>第二章“投标人须知</w:t>
            </w:r>
            <w:r>
              <w:rPr>
                <w:rFonts w:hint="eastAsia" w:ascii="宋体" w:hAnsi="宋体"/>
                <w:color w:val="auto"/>
                <w:kern w:val="0"/>
                <w:szCs w:val="21"/>
                <w:highlight w:val="none"/>
                <w:u w:val="single"/>
                <w:lang w:val="en-US" w:eastAsia="zh-CN"/>
              </w:rPr>
              <w:t>前附表</w:t>
            </w:r>
            <w:r>
              <w:rPr>
                <w:rFonts w:ascii="宋体" w:hAnsi="宋体"/>
                <w:color w:val="auto"/>
                <w:kern w:val="0"/>
                <w:szCs w:val="21"/>
                <w:highlight w:val="none"/>
                <w:u w:val="single"/>
              </w:rPr>
              <w:t>”第</w:t>
            </w:r>
            <w:r>
              <w:rPr>
                <w:rFonts w:hint="eastAsia" w:ascii="宋体" w:hAnsi="宋体"/>
                <w:color w:val="auto"/>
                <w:kern w:val="0"/>
                <w:szCs w:val="21"/>
                <w:highlight w:val="none"/>
                <w:u w:val="single"/>
                <w:lang w:val="en-US" w:eastAsia="zh-CN"/>
              </w:rPr>
              <w:t>1.12.4</w:t>
            </w:r>
            <w:r>
              <w:rPr>
                <w:rFonts w:hint="eastAsia" w:ascii="宋体" w:hAnsi="宋体"/>
                <w:color w:val="auto"/>
                <w:kern w:val="0"/>
                <w:szCs w:val="21"/>
                <w:highlight w:val="none"/>
                <w:u w:val="single"/>
              </w:rPr>
              <w:t>项</w:t>
            </w:r>
            <w:r>
              <w:rPr>
                <w:rFonts w:hint="eastAsia" w:ascii="宋体" w:hAnsi="宋体"/>
                <w:color w:val="auto"/>
                <w:kern w:val="0"/>
                <w:szCs w:val="21"/>
                <w:highlight w:val="none"/>
                <w:u w:val="single"/>
                <w:lang w:val="en-US" w:eastAsia="zh-CN"/>
              </w:rPr>
              <w:t>规定的允许偏差范围内，投标文件对招标文件商务或技术要求负偏差超出其允许负偏差最高项数的，商务部分得0分，不再对商务部分其他内容进行评审。</w:t>
            </w:r>
          </w:p>
          <w:p w14:paraId="00A84618">
            <w:pPr>
              <w:snapToGrid w:val="0"/>
              <w:spacing w:line="400" w:lineRule="exact"/>
              <w:ind w:firstLine="420" w:firstLineChars="200"/>
              <w:rPr>
                <w:rFonts w:hint="eastAsia" w:ascii="宋体" w:hAnsi="宋体" w:cs="宋体"/>
                <w:kern w:val="0"/>
                <w:szCs w:val="21"/>
              </w:rPr>
            </w:pPr>
            <w:r>
              <w:rPr>
                <w:rFonts w:hint="eastAsia" w:ascii="宋体" w:hAnsi="宋体"/>
                <w:color w:val="auto"/>
                <w:kern w:val="0"/>
                <w:szCs w:val="21"/>
                <w:highlight w:val="none"/>
                <w:u w:val="single"/>
                <w:lang w:val="en-US" w:eastAsia="zh-CN"/>
              </w:rPr>
              <w:t>投标人应在投标文件商务部分《商务偏差表》和《技术偏差表》中对招标文件列明的各项要求和条件进行响应。</w:t>
            </w:r>
          </w:p>
        </w:tc>
      </w:tr>
      <w:tr w14:paraId="304D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10" w:type="dxa"/>
            <w:vMerge w:val="continue"/>
            <w:vAlign w:val="center"/>
          </w:tcPr>
          <w:p w14:paraId="419D133F">
            <w:pPr>
              <w:spacing w:line="360" w:lineRule="exact"/>
              <w:jc w:val="center"/>
              <w:rPr>
                <w:rFonts w:hint="eastAsia" w:ascii="宋体" w:hAnsi="宋体" w:cs="宋体"/>
                <w:szCs w:val="21"/>
                <w:lang w:val="en-US" w:eastAsia="zh-CN"/>
              </w:rPr>
            </w:pPr>
          </w:p>
        </w:tc>
        <w:tc>
          <w:tcPr>
            <w:tcW w:w="826" w:type="dxa"/>
            <w:vMerge w:val="continue"/>
            <w:vAlign w:val="center"/>
          </w:tcPr>
          <w:p w14:paraId="31890403">
            <w:pPr>
              <w:snapToGrid w:val="0"/>
              <w:spacing w:line="360" w:lineRule="auto"/>
              <w:jc w:val="center"/>
              <w:rPr>
                <w:rFonts w:hint="eastAsia" w:ascii="宋体" w:hAnsi="宋体"/>
              </w:rPr>
            </w:pPr>
          </w:p>
        </w:tc>
        <w:tc>
          <w:tcPr>
            <w:tcW w:w="754" w:type="dxa"/>
            <w:gridSpan w:val="2"/>
            <w:vMerge w:val="continue"/>
            <w:vAlign w:val="center"/>
          </w:tcPr>
          <w:p w14:paraId="5CEF5B99">
            <w:pPr>
              <w:spacing w:line="360" w:lineRule="auto"/>
              <w:jc w:val="center"/>
              <w:rPr>
                <w:rFonts w:hint="eastAsia" w:ascii="宋体" w:hAnsi="宋体" w:cs="宋体"/>
                <w:kern w:val="0"/>
              </w:rPr>
            </w:pPr>
          </w:p>
        </w:tc>
        <w:tc>
          <w:tcPr>
            <w:tcW w:w="1820" w:type="dxa"/>
            <w:vAlign w:val="center"/>
          </w:tcPr>
          <w:p w14:paraId="35E2415E">
            <w:pPr>
              <w:tabs>
                <w:tab w:val="left" w:pos="1875"/>
              </w:tabs>
              <w:spacing w:line="400" w:lineRule="exact"/>
              <w:jc w:val="center"/>
              <w:rPr>
                <w:rFonts w:hint="eastAsia" w:ascii="宋体" w:hAnsi="宋体" w:cs="宋体"/>
                <w:kern w:val="0"/>
              </w:rPr>
            </w:pPr>
            <w:r>
              <w:rPr>
                <w:color w:val="auto"/>
                <w:highlight w:val="none"/>
              </w:rPr>
              <w:t>类似业绩</w:t>
            </w:r>
          </w:p>
        </w:tc>
        <w:tc>
          <w:tcPr>
            <w:tcW w:w="5150" w:type="dxa"/>
            <w:vAlign w:val="center"/>
          </w:tcPr>
          <w:p w14:paraId="4589B1EB">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yellow"/>
                <w:u w:val="single"/>
                <w:lang w:val="en-US" w:eastAsia="zh-CN"/>
              </w:rPr>
              <w:t>6</w:t>
            </w:r>
            <w:r>
              <w:rPr>
                <w:rFonts w:hint="eastAsia" w:ascii="宋体" w:hAnsi="宋体"/>
                <w:color w:val="auto"/>
                <w:highlight w:val="yellow"/>
                <w:u w:val="single"/>
              </w:rPr>
              <w:t xml:space="preserve"> </w:t>
            </w:r>
            <w:r>
              <w:rPr>
                <w:rFonts w:ascii="宋体" w:hAnsi="宋体"/>
                <w:color w:val="auto"/>
                <w:highlight w:val="none"/>
                <w:u w:val="single"/>
              </w:rPr>
              <w:t xml:space="preserve"> 　</w:t>
            </w:r>
            <w:r>
              <w:rPr>
                <w:rFonts w:ascii="宋体" w:hAnsi="宋体"/>
                <w:color w:val="auto"/>
                <w:highlight w:val="none"/>
              </w:rPr>
              <w:t>分</w:t>
            </w:r>
          </w:p>
          <w:p w14:paraId="34A9715E">
            <w:pPr>
              <w:snapToGrid w:val="0"/>
              <w:spacing w:line="400" w:lineRule="exact"/>
              <w:ind w:firstLine="420" w:firstLineChars="200"/>
              <w:rPr>
                <w:rFonts w:ascii="宋体" w:hAnsi="宋体"/>
                <w:color w:val="auto"/>
                <w:highlight w:val="none"/>
                <w:u w:val="none"/>
              </w:rPr>
            </w:pPr>
            <w:r>
              <w:rPr>
                <w:rFonts w:ascii="宋体" w:hAnsi="宋体"/>
                <w:color w:val="auto"/>
                <w:highlight w:val="none"/>
              </w:rPr>
              <w:t>在满足</w:t>
            </w:r>
            <w:r>
              <w:rPr>
                <w:rFonts w:hint="eastAsia" w:ascii="宋体" w:hAnsi="宋体"/>
                <w:color w:val="auto"/>
                <w:highlight w:val="none"/>
                <w:lang w:val="en-US" w:eastAsia="zh-CN"/>
              </w:rPr>
              <w:t>业绩</w:t>
            </w:r>
            <w:r>
              <w:rPr>
                <w:rFonts w:ascii="宋体" w:hAnsi="宋体"/>
                <w:color w:val="auto"/>
                <w:highlight w:val="none"/>
              </w:rPr>
              <w:t>资格</w:t>
            </w:r>
            <w:r>
              <w:rPr>
                <w:rFonts w:hint="eastAsia" w:ascii="宋体" w:hAnsi="宋体"/>
                <w:color w:val="auto"/>
                <w:highlight w:val="none"/>
                <w:lang w:val="en-US" w:eastAsia="zh-CN"/>
              </w:rPr>
              <w:t>条件</w:t>
            </w:r>
            <w:r>
              <w:rPr>
                <w:rFonts w:ascii="宋体" w:hAnsi="宋体"/>
                <w:color w:val="auto"/>
                <w:highlight w:val="none"/>
              </w:rPr>
              <w:t>的基础上</w:t>
            </w:r>
            <w:r>
              <w:rPr>
                <w:rFonts w:hint="eastAsia" w:ascii="宋体" w:hAnsi="宋体"/>
                <w:color w:val="auto"/>
                <w:highlight w:val="none"/>
                <w:u w:val="none"/>
                <w:lang w:eastAsia="zh-CN"/>
              </w:rPr>
              <w:t>（</w:t>
            </w:r>
            <w:r>
              <w:rPr>
                <w:rFonts w:hint="eastAsia" w:ascii="宋体" w:hAnsi="宋体"/>
                <w:color w:val="auto"/>
                <w:highlight w:val="none"/>
                <w:u w:val="none"/>
                <w:lang w:val="en-US" w:eastAsia="zh-CN"/>
              </w:rPr>
              <w:t>资格业绩不参与评分</w:t>
            </w:r>
            <w:r>
              <w:rPr>
                <w:rFonts w:hint="eastAsia" w:ascii="宋体" w:hAnsi="宋体"/>
                <w:color w:val="auto"/>
                <w:highlight w:val="none"/>
                <w:u w:val="none"/>
                <w:lang w:eastAsia="zh-CN"/>
              </w:rPr>
              <w:t>）</w:t>
            </w:r>
            <w:r>
              <w:rPr>
                <w:rFonts w:hint="eastAsia" w:ascii="宋体" w:hAnsi="宋体"/>
                <w:color w:val="auto"/>
                <w:highlight w:val="none"/>
              </w:rPr>
              <w:t>，</w:t>
            </w:r>
            <w:r>
              <w:rPr>
                <w:rFonts w:hint="eastAsia" w:ascii="宋体" w:hAnsi="宋体"/>
                <w:color w:val="auto"/>
                <w:highlight w:val="none"/>
                <w:lang w:val="en-US" w:eastAsia="zh-CN"/>
              </w:rPr>
              <w:t>按照投标人须知前附表第1.4.1条第3.1款业绩的要求</w:t>
            </w:r>
            <w:r>
              <w:rPr>
                <w:rFonts w:ascii="宋体" w:hAnsi="宋体"/>
                <w:color w:val="auto"/>
                <w:highlight w:val="none"/>
              </w:rPr>
              <w:t>每增加</w:t>
            </w:r>
            <w:r>
              <w:rPr>
                <w:rFonts w:hint="eastAsia" w:ascii="宋体" w:hAnsi="宋体"/>
                <w:color w:val="auto"/>
                <w:highlight w:val="none"/>
              </w:rPr>
              <w:t>1个</w:t>
            </w:r>
            <w:r>
              <w:rPr>
                <w:rFonts w:hint="eastAsia" w:ascii="宋体" w:hAnsi="宋体"/>
                <w:color w:val="auto"/>
                <w:highlight w:val="none"/>
                <w:lang w:val="en-US" w:eastAsia="zh-CN"/>
              </w:rPr>
              <w:t>投标人</w:t>
            </w:r>
            <w:r>
              <w:rPr>
                <w:rFonts w:hint="eastAsia" w:ascii="宋体" w:hAnsi="宋体"/>
                <w:color w:val="auto"/>
                <w:highlight w:val="none"/>
              </w:rPr>
              <w:t>业绩得</w:t>
            </w:r>
            <w:r>
              <w:rPr>
                <w:rFonts w:hint="eastAsia" w:ascii="宋体" w:hAnsi="宋体"/>
                <w:color w:val="auto"/>
                <w:highlight w:val="yellow"/>
                <w:u w:val="single"/>
              </w:rPr>
              <w:t xml:space="preserve">  </w:t>
            </w:r>
            <w:r>
              <w:rPr>
                <w:rFonts w:hint="eastAsia" w:ascii="宋体" w:hAnsi="宋体"/>
                <w:color w:val="auto"/>
                <w:highlight w:val="yellow"/>
                <w:u w:val="single"/>
                <w:lang w:val="en-US" w:eastAsia="zh-CN"/>
              </w:rPr>
              <w:t>0.2</w:t>
            </w:r>
            <w:r>
              <w:rPr>
                <w:rFonts w:hint="eastAsia" w:ascii="宋体" w:hAnsi="宋体"/>
                <w:color w:val="auto"/>
                <w:highlight w:val="yellow"/>
                <w:u w:val="single"/>
              </w:rPr>
              <w:t xml:space="preserve">  </w:t>
            </w:r>
            <w:r>
              <w:rPr>
                <w:rFonts w:hint="eastAsia" w:ascii="宋体" w:hAnsi="宋体"/>
                <w:color w:val="auto"/>
                <w:highlight w:val="none"/>
              </w:rPr>
              <w:t>分，最多得</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6</w:t>
            </w:r>
            <w:r>
              <w:rPr>
                <w:rFonts w:hint="eastAsia" w:ascii="宋体" w:hAnsi="宋体"/>
                <w:color w:val="auto"/>
                <w:highlight w:val="none"/>
                <w:u w:val="single"/>
              </w:rPr>
              <w:t xml:space="preserve"> </w:t>
            </w:r>
            <w:r>
              <w:rPr>
                <w:rFonts w:hint="eastAsia" w:ascii="宋体" w:hAnsi="宋体"/>
                <w:color w:val="auto"/>
                <w:highlight w:val="none"/>
              </w:rPr>
              <w:t>分。</w:t>
            </w:r>
          </w:p>
          <w:p w14:paraId="782084D5">
            <w:pPr>
              <w:snapToGrid w:val="0"/>
              <w:spacing w:line="400" w:lineRule="exact"/>
              <w:ind w:firstLine="420" w:firstLineChars="200"/>
              <w:rPr>
                <w:rFonts w:hint="eastAsia" w:ascii="宋体" w:hAnsi="宋体" w:cs="宋体"/>
                <w:kern w:val="0"/>
                <w:szCs w:val="21"/>
              </w:rPr>
            </w:pPr>
            <w:r>
              <w:rPr>
                <w:rFonts w:hint="eastAsia" w:ascii="宋体" w:hAnsi="宋体"/>
                <w:color w:val="auto"/>
                <w:highlight w:val="none"/>
                <w:u w:val="none"/>
              </w:rPr>
              <w:t>业绩证明材料按投标人须知前附表第1</w:t>
            </w:r>
            <w:r>
              <w:rPr>
                <w:rFonts w:ascii="宋体" w:hAnsi="宋体"/>
                <w:color w:val="auto"/>
                <w:highlight w:val="none"/>
                <w:u w:val="none"/>
              </w:rPr>
              <w:t>.4.1</w:t>
            </w:r>
            <w:r>
              <w:rPr>
                <w:rFonts w:hint="eastAsia" w:ascii="宋体" w:hAnsi="宋体"/>
                <w:color w:val="auto"/>
                <w:highlight w:val="none"/>
                <w:u w:val="none"/>
              </w:rPr>
              <w:t>条第3.</w:t>
            </w:r>
            <w:r>
              <w:rPr>
                <w:rFonts w:hint="eastAsia" w:ascii="宋体" w:hAnsi="宋体"/>
                <w:color w:val="auto"/>
                <w:highlight w:val="none"/>
                <w:u w:val="none"/>
                <w:lang w:val="en-US" w:eastAsia="zh-CN"/>
              </w:rPr>
              <w:t>2</w:t>
            </w:r>
            <w:r>
              <w:rPr>
                <w:rFonts w:hint="eastAsia" w:ascii="宋体" w:hAnsi="宋体"/>
                <w:color w:val="auto"/>
                <w:highlight w:val="none"/>
                <w:u w:val="none"/>
              </w:rPr>
              <w:t>款相关要求</w:t>
            </w:r>
            <w:r>
              <w:rPr>
                <w:rFonts w:hint="eastAsia" w:ascii="宋体" w:hAnsi="宋体"/>
                <w:color w:val="auto"/>
                <w:highlight w:val="none"/>
                <w:u w:val="none"/>
                <w:lang w:val="en-US" w:eastAsia="zh-CN"/>
              </w:rPr>
              <w:t>在投标文件商务部分中</w:t>
            </w:r>
            <w:r>
              <w:rPr>
                <w:rFonts w:hint="eastAsia" w:ascii="宋体" w:hAnsi="宋体"/>
                <w:color w:val="auto"/>
                <w:highlight w:val="none"/>
                <w:u w:val="none"/>
              </w:rPr>
              <w:t>提供。</w:t>
            </w:r>
          </w:p>
        </w:tc>
      </w:tr>
      <w:tr w14:paraId="5193C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10" w:type="dxa"/>
            <w:vMerge w:val="continue"/>
            <w:vAlign w:val="center"/>
          </w:tcPr>
          <w:p w14:paraId="1F36C9D3">
            <w:pPr>
              <w:spacing w:line="360" w:lineRule="exact"/>
              <w:jc w:val="center"/>
              <w:rPr>
                <w:rFonts w:hint="eastAsia" w:ascii="宋体" w:hAnsi="宋体" w:cs="宋体"/>
                <w:szCs w:val="21"/>
                <w:lang w:val="en-US" w:eastAsia="zh-CN"/>
              </w:rPr>
            </w:pPr>
          </w:p>
        </w:tc>
        <w:tc>
          <w:tcPr>
            <w:tcW w:w="826" w:type="dxa"/>
            <w:vMerge w:val="continue"/>
            <w:vAlign w:val="center"/>
          </w:tcPr>
          <w:p w14:paraId="47A9C793">
            <w:pPr>
              <w:snapToGrid w:val="0"/>
              <w:spacing w:line="360" w:lineRule="auto"/>
              <w:jc w:val="center"/>
              <w:rPr>
                <w:rFonts w:hint="eastAsia" w:ascii="宋体" w:hAnsi="宋体"/>
              </w:rPr>
            </w:pPr>
          </w:p>
        </w:tc>
        <w:tc>
          <w:tcPr>
            <w:tcW w:w="754" w:type="dxa"/>
            <w:gridSpan w:val="2"/>
            <w:vAlign w:val="center"/>
          </w:tcPr>
          <w:p w14:paraId="52B6CADB">
            <w:pPr>
              <w:spacing w:line="360" w:lineRule="auto"/>
              <w:jc w:val="center"/>
              <w:rPr>
                <w:rFonts w:hint="eastAsia" w:ascii="宋体" w:hAnsi="宋体" w:cs="宋体"/>
                <w:kern w:val="0"/>
              </w:rPr>
            </w:pPr>
          </w:p>
        </w:tc>
        <w:tc>
          <w:tcPr>
            <w:tcW w:w="1820" w:type="dxa"/>
            <w:vAlign w:val="center"/>
          </w:tcPr>
          <w:p w14:paraId="4A1FB766">
            <w:pPr>
              <w:tabs>
                <w:tab w:val="left" w:pos="1875"/>
              </w:tabs>
              <w:spacing w:line="400" w:lineRule="exact"/>
              <w:jc w:val="center"/>
              <w:rPr>
                <w:rFonts w:hint="eastAsia" w:ascii="宋体" w:hAnsi="宋体" w:cs="宋体"/>
                <w:kern w:val="0"/>
                <w:szCs w:val="21"/>
              </w:rPr>
            </w:pPr>
            <w:r>
              <w:rPr>
                <w:rFonts w:hint="eastAsia" w:ascii="宋体" w:hAnsi="宋体" w:cs="宋体"/>
                <w:color w:val="auto"/>
                <w:kern w:val="0"/>
                <w:highlight w:val="none"/>
                <w:lang w:val="en-US" w:eastAsia="zh-CN"/>
              </w:rPr>
              <w:t>质保期</w:t>
            </w:r>
          </w:p>
        </w:tc>
        <w:tc>
          <w:tcPr>
            <w:tcW w:w="5150" w:type="dxa"/>
            <w:vAlign w:val="center"/>
          </w:tcPr>
          <w:p w14:paraId="47BB05A7">
            <w:pPr>
              <w:snapToGrid w:val="0"/>
              <w:spacing w:line="400" w:lineRule="exact"/>
              <w:ind w:firstLine="420" w:firstLineChars="200"/>
              <w:rPr>
                <w:rFonts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2</w:t>
            </w:r>
            <w:r>
              <w:rPr>
                <w:rFonts w:hint="eastAsia" w:ascii="宋体" w:hAnsi="宋体"/>
                <w:color w:val="auto"/>
                <w:highlight w:val="none"/>
                <w:u w:val="single"/>
              </w:rPr>
              <w:t xml:space="preserve">  </w:t>
            </w:r>
            <w:r>
              <w:rPr>
                <w:rFonts w:ascii="宋体" w:hAnsi="宋体"/>
                <w:color w:val="auto"/>
                <w:highlight w:val="none"/>
              </w:rPr>
              <w:t>分</w:t>
            </w:r>
          </w:p>
          <w:p w14:paraId="77EB614E">
            <w:pPr>
              <w:snapToGrid w:val="0"/>
              <w:spacing w:line="400" w:lineRule="exact"/>
              <w:ind w:firstLine="420" w:firstLineChars="200"/>
              <w:rPr>
                <w:rFonts w:hint="eastAsia" w:ascii="宋体" w:hAnsi="宋体"/>
                <w:color w:val="auto"/>
                <w:highlight w:val="none"/>
                <w:u w:val="single"/>
                <w:lang w:val="en-US" w:eastAsia="zh-CN"/>
              </w:rPr>
            </w:pPr>
            <w:r>
              <w:rPr>
                <w:rFonts w:hint="eastAsia" w:ascii="宋体" w:hAnsi="宋体"/>
                <w:color w:val="auto"/>
                <w:highlight w:val="none"/>
                <w:u w:val="single"/>
                <w:lang w:val="en-US" w:eastAsia="zh-CN"/>
              </w:rPr>
              <w:t>质保期满足招标文件规定质保期的，得</w:t>
            </w:r>
            <w:r>
              <w:rPr>
                <w:rFonts w:hint="eastAsia" w:ascii="宋体" w:hAnsi="宋体"/>
                <w:color w:val="auto"/>
                <w:highlight w:val="none"/>
                <w:u w:val="single"/>
                <w:lang w:eastAsia="zh-CN"/>
              </w:rPr>
              <w:t>0</w:t>
            </w:r>
            <w:r>
              <w:rPr>
                <w:rFonts w:ascii="宋体" w:hAnsi="宋体"/>
                <w:color w:val="auto"/>
                <w:highlight w:val="none"/>
                <w:u w:val="single"/>
              </w:rPr>
              <w:t>分</w:t>
            </w:r>
            <w:r>
              <w:rPr>
                <w:rFonts w:hint="eastAsia" w:ascii="宋体" w:hAnsi="宋体"/>
                <w:color w:val="auto"/>
                <w:highlight w:val="none"/>
                <w:u w:val="single"/>
                <w:lang w:val="en-US" w:eastAsia="zh-CN"/>
              </w:rPr>
              <w:t>。在满足招标文件规定质保期的基础上，每延长6个月，得</w:t>
            </w:r>
            <w:r>
              <w:rPr>
                <w:rFonts w:hint="eastAsia" w:ascii="宋体" w:hAnsi="宋体"/>
                <w:color w:val="auto"/>
                <w:highlight w:val="none"/>
                <w:u w:val="single"/>
                <w:lang w:eastAsia="zh-CN"/>
              </w:rPr>
              <w:t>1</w:t>
            </w:r>
            <w:r>
              <w:rPr>
                <w:rFonts w:hint="eastAsia" w:ascii="宋体" w:hAnsi="宋体"/>
                <w:color w:val="auto"/>
                <w:highlight w:val="none"/>
                <w:u w:val="single"/>
              </w:rPr>
              <w:t xml:space="preserve">  </w:t>
            </w:r>
            <w:r>
              <w:rPr>
                <w:rFonts w:ascii="宋体" w:hAnsi="宋体"/>
                <w:color w:val="auto"/>
                <w:highlight w:val="none"/>
                <w:u w:val="single"/>
              </w:rPr>
              <w:t>分</w:t>
            </w:r>
            <w:r>
              <w:rPr>
                <w:rFonts w:hint="eastAsia" w:ascii="宋体" w:hAnsi="宋体"/>
                <w:color w:val="auto"/>
                <w:highlight w:val="none"/>
                <w:u w:val="single"/>
                <w:lang w:val="en-US" w:eastAsia="zh-CN"/>
              </w:rPr>
              <w:t>，最多得2</w:t>
            </w:r>
            <w:r>
              <w:rPr>
                <w:rFonts w:ascii="宋体" w:hAnsi="宋体"/>
                <w:color w:val="auto"/>
                <w:highlight w:val="none"/>
                <w:u w:val="single"/>
              </w:rPr>
              <w:t>分</w:t>
            </w:r>
            <w:r>
              <w:rPr>
                <w:rFonts w:hint="eastAsia" w:ascii="宋体" w:hAnsi="宋体"/>
                <w:color w:val="auto"/>
                <w:highlight w:val="none"/>
                <w:u w:val="single"/>
                <w:lang w:val="en-US" w:eastAsia="zh-CN"/>
              </w:rPr>
              <w:t>。</w:t>
            </w:r>
          </w:p>
          <w:p w14:paraId="4CE01E42">
            <w:pPr>
              <w:snapToGrid w:val="0"/>
              <w:spacing w:line="400" w:lineRule="exact"/>
              <w:ind w:firstLine="420" w:firstLineChars="200"/>
              <w:rPr>
                <w:rFonts w:hint="eastAsia" w:ascii="宋体" w:hAnsi="宋体" w:cs="宋体"/>
                <w:kern w:val="0"/>
                <w:szCs w:val="21"/>
              </w:rPr>
            </w:pPr>
            <w:r>
              <w:rPr>
                <w:rFonts w:hint="eastAsia" w:ascii="宋体" w:hAnsi="宋体"/>
                <w:color w:val="auto"/>
                <w:highlight w:val="none"/>
                <w:u w:val="single"/>
                <w:lang w:val="en-US" w:eastAsia="zh-CN"/>
              </w:rPr>
              <w:t>投标人应在投标文件商务部分</w:t>
            </w:r>
            <w:r>
              <w:rPr>
                <w:rFonts w:hint="eastAsia" w:ascii="宋体" w:hAnsi="宋体"/>
                <w:color w:val="auto"/>
                <w:kern w:val="0"/>
                <w:szCs w:val="21"/>
                <w:highlight w:val="none"/>
                <w:u w:val="single"/>
                <w:lang w:val="en-US" w:eastAsia="zh-CN"/>
              </w:rPr>
              <w:t>《商务偏差表》</w:t>
            </w:r>
            <w:r>
              <w:rPr>
                <w:rFonts w:hint="eastAsia" w:ascii="宋体" w:hAnsi="宋体"/>
                <w:color w:val="auto"/>
                <w:highlight w:val="none"/>
                <w:u w:val="single"/>
                <w:lang w:val="en-US" w:eastAsia="zh-CN"/>
              </w:rPr>
              <w:t>中响应招标文件规定的质保期，或提出优于招标文件的质保期</w:t>
            </w:r>
            <w:r>
              <w:rPr>
                <w:rFonts w:hint="eastAsia" w:ascii="宋体" w:hAnsi="宋体"/>
                <w:color w:val="auto"/>
                <w:highlight w:val="none"/>
                <w:u w:val="single"/>
              </w:rPr>
              <w:t>。</w:t>
            </w:r>
          </w:p>
        </w:tc>
      </w:tr>
      <w:tr w14:paraId="1670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10" w:type="dxa"/>
            <w:vMerge w:val="restart"/>
            <w:vAlign w:val="center"/>
          </w:tcPr>
          <w:p w14:paraId="6F07B463">
            <w:pPr>
              <w:spacing w:line="360" w:lineRule="auto"/>
              <w:jc w:val="center"/>
              <w:rPr>
                <w:rFonts w:ascii="宋体" w:hAnsi="宋体" w:cs="宋体"/>
                <w:kern w:val="0"/>
                <w:szCs w:val="21"/>
              </w:rPr>
            </w:pPr>
            <w:r>
              <w:rPr>
                <w:rFonts w:hint="eastAsia" w:ascii="宋体" w:hAnsi="宋体" w:cs="宋体"/>
                <w:kern w:val="0"/>
                <w:szCs w:val="21"/>
              </w:rPr>
              <w:t>2.2.4（</w:t>
            </w:r>
            <w:r>
              <w:rPr>
                <w:rFonts w:hint="eastAsia" w:ascii="宋体" w:hAnsi="宋体" w:cs="宋体"/>
                <w:kern w:val="0"/>
                <w:szCs w:val="21"/>
                <w:lang w:val="en-US" w:eastAsia="zh-CN"/>
              </w:rPr>
              <w:t>3</w:t>
            </w:r>
            <w:r>
              <w:rPr>
                <w:rFonts w:hint="eastAsia" w:ascii="宋体" w:hAnsi="宋体" w:cs="宋体"/>
                <w:kern w:val="0"/>
                <w:szCs w:val="21"/>
              </w:rPr>
              <w:t>）</w:t>
            </w:r>
          </w:p>
        </w:tc>
        <w:tc>
          <w:tcPr>
            <w:tcW w:w="826" w:type="dxa"/>
            <w:vMerge w:val="restart"/>
            <w:vAlign w:val="center"/>
          </w:tcPr>
          <w:p w14:paraId="5F045D17">
            <w:pPr>
              <w:snapToGrid w:val="0"/>
              <w:spacing w:line="360" w:lineRule="auto"/>
              <w:jc w:val="center"/>
              <w:rPr>
                <w:rFonts w:ascii="宋体" w:hAnsi="宋体" w:cs="宋体"/>
                <w:kern w:val="0"/>
              </w:rPr>
            </w:pPr>
            <w:r>
              <w:rPr>
                <w:rFonts w:hint="eastAsia" w:ascii="宋体" w:hAnsi="宋体"/>
              </w:rPr>
              <w:t>详细评审方法</w:t>
            </w:r>
          </w:p>
        </w:tc>
        <w:tc>
          <w:tcPr>
            <w:tcW w:w="754" w:type="dxa"/>
            <w:gridSpan w:val="2"/>
            <w:vMerge w:val="restart"/>
            <w:vAlign w:val="center"/>
          </w:tcPr>
          <w:p w14:paraId="7818885C">
            <w:pPr>
              <w:snapToGrid w:val="0"/>
              <w:spacing w:line="360" w:lineRule="auto"/>
              <w:jc w:val="center"/>
              <w:rPr>
                <w:rFonts w:ascii="宋体" w:hAnsi="宋体" w:cs="宋体"/>
                <w:kern w:val="0"/>
              </w:rPr>
            </w:pPr>
            <w:r>
              <w:rPr>
                <w:rFonts w:hint="eastAsia" w:ascii="宋体" w:hAnsi="宋体" w:cs="宋体"/>
                <w:kern w:val="0"/>
              </w:rPr>
              <w:t>技术部分（</w:t>
            </w:r>
            <w:r>
              <w:rPr>
                <w:rFonts w:hint="eastAsia" w:ascii="宋体" w:hAnsi="宋体" w:cs="宋体"/>
                <w:kern w:val="0"/>
                <w:lang w:val="en-US" w:eastAsia="zh-CN"/>
              </w:rPr>
              <w:t>C</w:t>
            </w:r>
            <w:r>
              <w:rPr>
                <w:rFonts w:hint="eastAsia" w:ascii="宋体" w:hAnsi="宋体" w:cs="宋体"/>
                <w:kern w:val="0"/>
              </w:rPr>
              <w:t>）</w:t>
            </w:r>
          </w:p>
        </w:tc>
        <w:tc>
          <w:tcPr>
            <w:tcW w:w="6970" w:type="dxa"/>
            <w:gridSpan w:val="2"/>
            <w:vAlign w:val="center"/>
          </w:tcPr>
          <w:p w14:paraId="4421CA62">
            <w:pPr>
              <w:snapToGrid w:val="0"/>
              <w:spacing w:line="400" w:lineRule="exact"/>
              <w:ind w:firstLine="420" w:firstLineChars="200"/>
              <w:rPr>
                <w:rFonts w:hint="eastAsia" w:ascii="宋体" w:hAnsi="宋体" w:cs="宋体"/>
                <w:b/>
                <w:bCs/>
                <w:kern w:val="0"/>
                <w:szCs w:val="21"/>
              </w:rPr>
            </w:pPr>
            <w:r>
              <w:rPr>
                <w:rFonts w:hint="eastAsia"/>
              </w:rPr>
              <w:t>技术部分由评委独立打分，</w:t>
            </w:r>
            <w:r>
              <w:rPr>
                <w:rFonts w:ascii="宋体" w:hAnsi="宋体"/>
                <w:color w:val="auto"/>
                <w:szCs w:val="21"/>
                <w:highlight w:val="none"/>
              </w:rPr>
              <w:t>评标委员会按</w:t>
            </w:r>
            <w:r>
              <w:rPr>
                <w:rFonts w:hint="eastAsia" w:ascii="宋体" w:hAnsi="宋体"/>
                <w:color w:val="auto"/>
                <w:szCs w:val="21"/>
                <w:highlight w:val="none"/>
                <w:lang w:eastAsia="zh-CN"/>
              </w:rPr>
              <w:t>以下</w:t>
            </w:r>
            <w:r>
              <w:rPr>
                <w:rFonts w:ascii="宋体" w:hAnsi="宋体"/>
                <w:color w:val="auto"/>
                <w:szCs w:val="21"/>
                <w:highlight w:val="none"/>
              </w:rPr>
              <w:t>各评审因素设定的分值</w:t>
            </w:r>
            <w:r>
              <w:rPr>
                <w:rFonts w:hint="eastAsia" w:ascii="宋体" w:hAnsi="宋体"/>
                <w:color w:val="auto"/>
                <w:szCs w:val="21"/>
                <w:highlight w:val="none"/>
              </w:rPr>
              <w:t>进行</w:t>
            </w:r>
            <w:r>
              <w:rPr>
                <w:rFonts w:ascii="宋体" w:hAnsi="宋体"/>
                <w:color w:val="auto"/>
                <w:szCs w:val="21"/>
                <w:highlight w:val="none"/>
              </w:rPr>
              <w:t>评分</w:t>
            </w:r>
            <w:r>
              <w:rPr>
                <w:rFonts w:hint="eastAsia" w:ascii="宋体" w:hAnsi="宋体"/>
                <w:color w:val="auto"/>
                <w:szCs w:val="21"/>
                <w:highlight w:val="none"/>
                <w:lang w:val="en-US" w:eastAsia="zh-CN"/>
              </w:rPr>
              <w:t>且保证分值统一</w:t>
            </w:r>
            <w:r>
              <w:rPr>
                <w:rFonts w:ascii="宋体" w:hAnsi="宋体"/>
                <w:color w:val="auto"/>
                <w:szCs w:val="21"/>
                <w:highlight w:val="none"/>
              </w:rPr>
              <w:t>。</w:t>
            </w:r>
            <w:r>
              <w:rPr>
                <w:rFonts w:hint="eastAsia" w:ascii="Times New Roman" w:hAnsi="Times New Roman"/>
                <w:color w:val="auto"/>
                <w:kern w:val="2"/>
                <w:sz w:val="21"/>
              </w:rPr>
              <w:t>供应商得分保留小数点后2位，第三位四舍五入。</w:t>
            </w:r>
          </w:p>
        </w:tc>
      </w:tr>
      <w:tr w14:paraId="280F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26928181">
            <w:pPr>
              <w:spacing w:line="360" w:lineRule="auto"/>
              <w:jc w:val="center"/>
              <w:rPr>
                <w:rFonts w:ascii="宋体" w:hAnsi="宋体" w:cs="宋体"/>
                <w:kern w:val="0"/>
                <w:szCs w:val="21"/>
              </w:rPr>
            </w:pPr>
          </w:p>
        </w:tc>
        <w:tc>
          <w:tcPr>
            <w:tcW w:w="826" w:type="dxa"/>
            <w:vMerge w:val="continue"/>
            <w:vAlign w:val="center"/>
          </w:tcPr>
          <w:p w14:paraId="3A35FF11">
            <w:pPr>
              <w:snapToGrid w:val="0"/>
              <w:spacing w:line="360" w:lineRule="auto"/>
              <w:jc w:val="center"/>
              <w:rPr>
                <w:rFonts w:ascii="宋体" w:hAnsi="宋体" w:cs="宋体"/>
                <w:kern w:val="0"/>
              </w:rPr>
            </w:pPr>
          </w:p>
        </w:tc>
        <w:tc>
          <w:tcPr>
            <w:tcW w:w="754" w:type="dxa"/>
            <w:gridSpan w:val="2"/>
            <w:vMerge w:val="continue"/>
            <w:vAlign w:val="center"/>
          </w:tcPr>
          <w:p w14:paraId="2A18B608">
            <w:pPr>
              <w:snapToGrid w:val="0"/>
              <w:spacing w:line="360" w:lineRule="auto"/>
              <w:jc w:val="center"/>
              <w:rPr>
                <w:rFonts w:ascii="宋体" w:hAnsi="宋体" w:cs="宋体"/>
                <w:kern w:val="0"/>
              </w:rPr>
            </w:pPr>
          </w:p>
        </w:tc>
        <w:tc>
          <w:tcPr>
            <w:tcW w:w="1820" w:type="dxa"/>
            <w:vAlign w:val="center"/>
          </w:tcPr>
          <w:p w14:paraId="5550905A">
            <w:pPr>
              <w:tabs>
                <w:tab w:val="left" w:pos="1875"/>
              </w:tabs>
              <w:spacing w:line="400" w:lineRule="exact"/>
              <w:jc w:val="center"/>
              <w:rPr>
                <w:rFonts w:hint="eastAsia" w:ascii="宋体" w:hAnsi="宋体"/>
                <w:color w:val="auto"/>
                <w:kern w:val="0"/>
                <w:highlight w:val="none"/>
              </w:rPr>
            </w:pPr>
            <w:r>
              <w:rPr>
                <w:rFonts w:hint="eastAsia" w:ascii="宋体" w:hAnsi="宋体"/>
                <w:color w:val="auto"/>
                <w:kern w:val="0"/>
                <w:highlight w:val="none"/>
                <w:lang w:val="en-US" w:eastAsia="zh-CN"/>
              </w:rPr>
              <w:t>技术部分</w:t>
            </w:r>
            <w:r>
              <w:rPr>
                <w:rFonts w:hint="eastAsia" w:ascii="宋体" w:hAnsi="宋体"/>
                <w:color w:val="auto"/>
                <w:kern w:val="0"/>
                <w:highlight w:val="none"/>
              </w:rPr>
              <w:t>总体</w:t>
            </w:r>
          </w:p>
          <w:p w14:paraId="0A2D32D6">
            <w:pPr>
              <w:tabs>
                <w:tab w:val="left" w:pos="1875"/>
              </w:tabs>
              <w:spacing w:line="400" w:lineRule="exact"/>
              <w:jc w:val="center"/>
              <w:rPr>
                <w:rFonts w:hint="eastAsia" w:ascii="宋体" w:hAnsi="宋体"/>
                <w:color w:val="auto"/>
                <w:kern w:val="0"/>
                <w:highlight w:val="none"/>
              </w:rPr>
            </w:pPr>
            <w:r>
              <w:rPr>
                <w:rFonts w:hint="eastAsia" w:ascii="宋体" w:hAnsi="宋体"/>
                <w:color w:val="auto"/>
                <w:kern w:val="0"/>
                <w:highlight w:val="none"/>
              </w:rPr>
              <w:t>评审标准</w:t>
            </w:r>
          </w:p>
          <w:p w14:paraId="04DD4419">
            <w:pPr>
              <w:tabs>
                <w:tab w:val="left" w:pos="1875"/>
              </w:tabs>
              <w:spacing w:line="400" w:lineRule="exact"/>
              <w:jc w:val="center"/>
              <w:rPr>
                <w:rFonts w:hint="eastAsia" w:ascii="宋体" w:hAnsi="宋体" w:eastAsia="宋体" w:cs="宋体"/>
                <w:kern w:val="0"/>
                <w:szCs w:val="21"/>
                <w:lang w:eastAsia="zh-CN"/>
              </w:rPr>
            </w:pPr>
            <w:r>
              <w:rPr>
                <w:rFonts w:hint="eastAsia" w:ascii="宋体" w:hAnsi="宋体"/>
                <w:color w:val="auto"/>
                <w:kern w:val="0"/>
                <w:highlight w:val="none"/>
                <w:lang w:eastAsia="zh-CN"/>
              </w:rPr>
              <w:t>（</w:t>
            </w:r>
            <w:r>
              <w:rPr>
                <w:rFonts w:hint="eastAsia" w:ascii="宋体" w:hAnsi="宋体"/>
                <w:color w:val="auto"/>
                <w:kern w:val="0"/>
                <w:highlight w:val="none"/>
                <w:lang w:val="en-US" w:eastAsia="zh-CN"/>
              </w:rPr>
              <w:t>27分</w:t>
            </w:r>
            <w:r>
              <w:rPr>
                <w:rFonts w:hint="eastAsia" w:ascii="宋体" w:hAnsi="宋体"/>
                <w:color w:val="auto"/>
                <w:kern w:val="0"/>
                <w:highlight w:val="none"/>
                <w:lang w:eastAsia="zh-CN"/>
              </w:rPr>
              <w:t>）</w:t>
            </w:r>
          </w:p>
        </w:tc>
        <w:tc>
          <w:tcPr>
            <w:tcW w:w="5150" w:type="dxa"/>
            <w:vAlign w:val="center"/>
          </w:tcPr>
          <w:p w14:paraId="49DBC102">
            <w:pPr>
              <w:spacing w:line="400" w:lineRule="exact"/>
              <w:ind w:firstLine="420" w:firstLineChars="200"/>
              <w:rPr>
                <w:rFonts w:ascii="宋体" w:hAnsi="宋体"/>
                <w:snapToGrid w:val="0"/>
                <w:color w:val="auto"/>
                <w:kern w:val="0"/>
                <w:szCs w:val="21"/>
                <w:highlight w:val="none"/>
              </w:rPr>
            </w:pPr>
            <w:r>
              <w:rPr>
                <w:rFonts w:hint="eastAsia"/>
                <w:color w:val="auto"/>
                <w:szCs w:val="22"/>
                <w:highlight w:val="none"/>
              </w:rPr>
              <w:t>评标委员会按照优、良、一般、差四个档次进行评分，</w:t>
            </w:r>
            <w:r>
              <w:rPr>
                <w:rFonts w:hint="eastAsia" w:ascii="宋体" w:hAnsi="宋体" w:eastAsia="宋体" w:cs="宋体"/>
                <w:snapToGrid w:val="0"/>
                <w:color w:val="auto"/>
                <w:kern w:val="0"/>
                <w:szCs w:val="21"/>
                <w:highlight w:val="none"/>
                <w:lang w:val="en-US" w:eastAsia="zh-CN"/>
              </w:rPr>
              <w:t>若评委</w:t>
            </w:r>
            <w:r>
              <w:rPr>
                <w:rFonts w:hint="eastAsia" w:ascii="宋体" w:hAnsi="宋体" w:eastAsia="宋体" w:cs="宋体"/>
                <w:snapToGrid w:val="0"/>
                <w:color w:val="auto"/>
                <w:kern w:val="0"/>
                <w:szCs w:val="21"/>
                <w:highlight w:val="none"/>
              </w:rPr>
              <w:t>对投标人</w:t>
            </w:r>
            <w:r>
              <w:rPr>
                <w:rFonts w:hint="eastAsia" w:ascii="宋体" w:hAnsi="宋体"/>
                <w:color w:val="auto"/>
                <w:kern w:val="0"/>
                <w:highlight w:val="none"/>
                <w:lang w:val="en-US" w:eastAsia="zh-CN"/>
              </w:rPr>
              <w:t>技术部分</w:t>
            </w:r>
            <w:r>
              <w:rPr>
                <w:rFonts w:hint="eastAsia" w:ascii="宋体" w:hAnsi="宋体" w:eastAsia="宋体" w:cs="宋体"/>
                <w:snapToGrid w:val="0"/>
                <w:color w:val="auto"/>
                <w:kern w:val="0"/>
                <w:szCs w:val="21"/>
                <w:highlight w:val="none"/>
                <w:lang w:val="en-US" w:eastAsia="zh-CN"/>
              </w:rPr>
              <w:t>评分低于</w:t>
            </w:r>
            <w:r>
              <w:rPr>
                <w:rFonts w:hint="eastAsia" w:ascii="宋体" w:hAnsi="宋体" w:cs="宋体"/>
                <w:snapToGrid w:val="0"/>
                <w:color w:val="auto"/>
                <w:kern w:val="0"/>
                <w:szCs w:val="21"/>
                <w:highlight w:val="none"/>
                <w:lang w:val="en-US" w:eastAsia="zh-CN"/>
              </w:rPr>
              <w:t>该</w:t>
            </w:r>
            <w:r>
              <w:rPr>
                <w:rFonts w:hint="eastAsia" w:ascii="宋体" w:hAnsi="宋体" w:eastAsia="宋体" w:cs="宋体"/>
                <w:snapToGrid w:val="0"/>
                <w:color w:val="auto"/>
                <w:kern w:val="0"/>
                <w:szCs w:val="21"/>
                <w:highlight w:val="none"/>
                <w:lang w:val="en-US" w:eastAsia="zh-CN"/>
              </w:rPr>
              <w:t>部分总分的60%的</w:t>
            </w:r>
            <w:r>
              <w:rPr>
                <w:rFonts w:hint="eastAsia" w:ascii="宋体" w:hAnsi="宋体"/>
                <w:snapToGrid w:val="0"/>
                <w:color w:val="auto"/>
                <w:kern w:val="0"/>
                <w:szCs w:val="21"/>
                <w:highlight w:val="none"/>
                <w:lang w:val="en-US" w:eastAsia="zh-CN"/>
              </w:rPr>
              <w:t>或对个别投标人</w:t>
            </w:r>
            <w:r>
              <w:rPr>
                <w:rFonts w:hint="eastAsia" w:ascii="宋体" w:hAnsi="宋体"/>
                <w:color w:val="auto"/>
                <w:kern w:val="0"/>
                <w:szCs w:val="21"/>
                <w:highlight w:val="none"/>
                <w:lang w:val="en-US" w:eastAsia="zh-CN"/>
              </w:rPr>
              <w:t>技术部分</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评委对技术部分评分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该部分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r>
              <w:rPr>
                <w:rFonts w:hint="eastAsia" w:ascii="宋体" w:hAnsi="宋体"/>
                <w:color w:val="auto"/>
                <w:kern w:val="0"/>
                <w:szCs w:val="21"/>
                <w:highlight w:val="none"/>
                <w:lang w:val="en-US" w:eastAsia="zh-CN"/>
              </w:rPr>
              <w:t>技术部分</w:t>
            </w:r>
            <w:r>
              <w:rPr>
                <w:rFonts w:hint="eastAsia" w:ascii="宋体" w:hAnsi="宋体"/>
                <w:snapToGrid w:val="0"/>
                <w:color w:val="auto"/>
                <w:kern w:val="0"/>
                <w:szCs w:val="21"/>
                <w:highlight w:val="none"/>
              </w:rPr>
              <w:t>缺项的该项得0分。</w:t>
            </w:r>
          </w:p>
          <w:p w14:paraId="161F182B">
            <w:pPr>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取算术平均值为该投标人</w:t>
            </w:r>
            <w:r>
              <w:rPr>
                <w:rFonts w:hint="eastAsia" w:ascii="宋体" w:hAnsi="宋体"/>
                <w:snapToGrid w:val="0"/>
                <w:color w:val="auto"/>
                <w:kern w:val="0"/>
                <w:szCs w:val="21"/>
                <w:highlight w:val="none"/>
                <w:lang w:val="en-US" w:eastAsia="zh-CN"/>
              </w:rPr>
              <w:t>技术部分</w:t>
            </w:r>
            <w:r>
              <w:rPr>
                <w:rFonts w:ascii="宋体" w:hAnsi="宋体"/>
                <w:snapToGrid w:val="0"/>
                <w:color w:val="auto"/>
                <w:kern w:val="0"/>
                <w:szCs w:val="21"/>
                <w:highlight w:val="none"/>
              </w:rPr>
              <w:t>得分。</w:t>
            </w:r>
          </w:p>
          <w:p w14:paraId="736E9AC5">
            <w:pPr>
              <w:snapToGrid w:val="0"/>
              <w:spacing w:line="400" w:lineRule="exact"/>
              <w:ind w:firstLine="420" w:firstLineChars="200"/>
              <w:rPr>
                <w:rFonts w:ascii="宋体" w:hAnsi="宋体" w:eastAsia="宋体"/>
              </w:rPr>
            </w:pPr>
            <w:r>
              <w:rPr>
                <w:rFonts w:hint="eastAsia" w:ascii="宋体" w:hAnsi="宋体"/>
                <w:color w:val="auto"/>
                <w:kern w:val="0"/>
                <w:szCs w:val="21"/>
                <w:highlight w:val="none"/>
                <w:lang w:val="en-US" w:eastAsia="zh-CN"/>
              </w:rPr>
              <w:t>技术部分</w:t>
            </w:r>
            <w:r>
              <w:rPr>
                <w:rFonts w:ascii="宋体" w:hAnsi="宋体"/>
                <w:color w:val="auto"/>
                <w:kern w:val="0"/>
                <w:szCs w:val="21"/>
                <w:highlight w:val="none"/>
              </w:rPr>
              <w:t>得分的最终结果</w:t>
            </w:r>
            <w:r>
              <w:rPr>
                <w:rFonts w:hint="eastAsia" w:ascii="宋体" w:hAnsi="宋体"/>
                <w:color w:val="auto"/>
                <w:kern w:val="0"/>
                <w:szCs w:val="21"/>
                <w:highlight w:val="none"/>
              </w:rPr>
              <w:t>保留两位小数</w:t>
            </w:r>
            <w:r>
              <w:rPr>
                <w:rFonts w:ascii="宋体" w:hAnsi="宋体"/>
                <w:color w:val="auto"/>
                <w:kern w:val="0"/>
                <w:szCs w:val="21"/>
                <w:highlight w:val="none"/>
              </w:rPr>
              <w:t>，</w:t>
            </w:r>
            <w:r>
              <w:rPr>
                <w:rFonts w:hint="eastAsia" w:ascii="宋体" w:hAnsi="宋体"/>
                <w:color w:val="auto"/>
                <w:kern w:val="0"/>
                <w:szCs w:val="21"/>
                <w:highlight w:val="none"/>
                <w:lang w:val="en-US" w:eastAsia="zh-CN"/>
              </w:rPr>
              <w:t>小数点后</w:t>
            </w:r>
            <w:r>
              <w:rPr>
                <w:rFonts w:ascii="宋体" w:hAnsi="宋体"/>
                <w:color w:val="auto"/>
                <w:kern w:val="0"/>
                <w:szCs w:val="21"/>
                <w:highlight w:val="none"/>
              </w:rPr>
              <w:t>第三位四舍五入。</w:t>
            </w:r>
          </w:p>
        </w:tc>
      </w:tr>
      <w:tr w14:paraId="4BD2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4273DB78">
            <w:pPr>
              <w:spacing w:line="360" w:lineRule="exact"/>
              <w:jc w:val="center"/>
              <w:rPr>
                <w:rFonts w:ascii="宋体" w:hAnsi="宋体" w:cs="宋体"/>
                <w:szCs w:val="21"/>
              </w:rPr>
            </w:pPr>
          </w:p>
        </w:tc>
        <w:tc>
          <w:tcPr>
            <w:tcW w:w="826" w:type="dxa"/>
            <w:vMerge w:val="continue"/>
            <w:vAlign w:val="center"/>
          </w:tcPr>
          <w:p w14:paraId="7828F7E2">
            <w:pPr>
              <w:spacing w:line="360" w:lineRule="exact"/>
              <w:jc w:val="center"/>
              <w:rPr>
                <w:rFonts w:ascii="宋体" w:hAnsi="宋体" w:cs="宋体"/>
                <w:szCs w:val="21"/>
              </w:rPr>
            </w:pPr>
          </w:p>
        </w:tc>
        <w:tc>
          <w:tcPr>
            <w:tcW w:w="754" w:type="dxa"/>
            <w:gridSpan w:val="2"/>
            <w:vMerge w:val="continue"/>
            <w:vAlign w:val="center"/>
          </w:tcPr>
          <w:p w14:paraId="5E829716">
            <w:pPr>
              <w:spacing w:line="360" w:lineRule="exact"/>
              <w:jc w:val="center"/>
              <w:rPr>
                <w:rFonts w:ascii="宋体" w:hAnsi="宋体" w:cs="宋体"/>
                <w:szCs w:val="21"/>
              </w:rPr>
            </w:pPr>
          </w:p>
        </w:tc>
        <w:tc>
          <w:tcPr>
            <w:tcW w:w="1820" w:type="dxa"/>
            <w:vAlign w:val="center"/>
          </w:tcPr>
          <w:p w14:paraId="442ACF09">
            <w:pPr>
              <w:tabs>
                <w:tab w:val="left" w:pos="1875"/>
              </w:tabs>
              <w:spacing w:line="400" w:lineRule="exact"/>
              <w:jc w:val="center"/>
              <w:rPr>
                <w:rFonts w:ascii="宋体" w:hAnsi="宋体" w:eastAsia="宋体" w:cs="宋体"/>
                <w:kern w:val="0"/>
                <w:szCs w:val="21"/>
              </w:rPr>
            </w:pPr>
            <w:r>
              <w:rPr>
                <w:rFonts w:hint="eastAsia" w:ascii="宋体" w:hAnsi="宋体"/>
                <w:color w:val="auto"/>
                <w:kern w:val="0"/>
                <w:highlight w:val="none"/>
                <w:u w:val="none"/>
              </w:rPr>
              <w:t>安全可靠性指标</w:t>
            </w:r>
          </w:p>
        </w:tc>
        <w:tc>
          <w:tcPr>
            <w:tcW w:w="5150" w:type="dxa"/>
            <w:vAlign w:val="center"/>
          </w:tcPr>
          <w:p w14:paraId="5F32DBC6">
            <w:pPr>
              <w:numPr>
                <w:ilvl w:val="0"/>
                <w:numId w:val="0"/>
              </w:numPr>
              <w:snapToGrid w:val="0"/>
              <w:spacing w:line="400" w:lineRule="exact"/>
              <w:ind w:left="0" w:leftChars="0" w:firstLine="420" w:firstLineChars="200"/>
              <w:rPr>
                <w:rFonts w:ascii="宋体" w:hAnsi="宋体" w:eastAsia="宋体" w:cs="宋体"/>
                <w:kern w:val="0"/>
                <w:szCs w:val="21"/>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5</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default" w:ascii="宋体" w:hAnsi="宋体" w:eastAsia="宋体" w:cs="Times New Roman"/>
                <w:snapToGrid w:val="0"/>
                <w:color w:val="auto"/>
                <w:kern w:val="0"/>
                <w:sz w:val="21"/>
                <w:szCs w:val="21"/>
                <w:highlight w:val="none"/>
              </w:rPr>
              <w:t>按同类用户提供的安全稳定运行证明材料进行评审，</w:t>
            </w:r>
            <w:r>
              <w:rPr>
                <w:rFonts w:hint="default" w:ascii="宋体" w:hAnsi="宋体" w:eastAsia="宋体" w:cs="Times New Roman"/>
                <w:snapToGrid w:val="0"/>
                <w:color w:val="auto"/>
                <w:kern w:val="0"/>
                <w:sz w:val="21"/>
                <w:szCs w:val="21"/>
                <w:highlight w:val="none"/>
                <w:lang w:val="en-US"/>
              </w:rPr>
              <w:t>用户提供的证明</w:t>
            </w:r>
            <w:r>
              <w:rPr>
                <w:rFonts w:hint="default" w:ascii="宋体" w:hAnsi="宋体" w:eastAsia="宋体" w:cs="Times New Roman"/>
                <w:snapToGrid w:val="0"/>
                <w:color w:val="auto"/>
                <w:kern w:val="0"/>
                <w:sz w:val="21"/>
                <w:szCs w:val="21"/>
                <w:highlight w:val="none"/>
                <w:lang w:val="en-US" w:eastAsia="zh-CN"/>
              </w:rPr>
              <w:t>优</w:t>
            </w:r>
            <w:r>
              <w:rPr>
                <w:rFonts w:hint="default" w:ascii="宋体" w:hAnsi="宋体" w:eastAsia="宋体" w:cs="Times New Roman"/>
                <w:snapToGrid w:val="0"/>
                <w:color w:val="auto"/>
                <w:kern w:val="0"/>
                <w:sz w:val="21"/>
                <w:szCs w:val="21"/>
                <w:highlight w:val="none"/>
                <w:lang w:val="en-US"/>
              </w:rPr>
              <w:t>得</w:t>
            </w:r>
            <w:r>
              <w:rPr>
                <w:rFonts w:hint="eastAsia" w:ascii="宋体" w:hAnsi="宋体" w:cs="Times New Roman"/>
                <w:snapToGrid w:val="0"/>
                <w:color w:val="auto"/>
                <w:kern w:val="0"/>
                <w:sz w:val="21"/>
                <w:szCs w:val="21"/>
                <w:highlight w:val="none"/>
                <w:lang w:val="en-US" w:eastAsia="zh-CN"/>
              </w:rPr>
              <w:t>4.5-5</w:t>
            </w:r>
            <w:r>
              <w:rPr>
                <w:rFonts w:ascii="宋体" w:hAnsi="宋体" w:eastAsia="宋体" w:cs="Times New Roman"/>
                <w:snapToGrid w:val="0"/>
                <w:color w:val="auto"/>
                <w:kern w:val="0"/>
                <w:sz w:val="21"/>
                <w:szCs w:val="21"/>
                <w:highlight w:val="none"/>
                <w:lang w:val="en-US"/>
              </w:rPr>
              <w:t>分</w:t>
            </w:r>
            <w:r>
              <w:rPr>
                <w:rFonts w:hint="default" w:ascii="宋体" w:hAnsi="宋体" w:eastAsia="宋体" w:cs="Times New Roman"/>
                <w:snapToGrid w:val="0"/>
                <w:color w:val="auto"/>
                <w:kern w:val="0"/>
                <w:sz w:val="21"/>
                <w:szCs w:val="21"/>
                <w:highlight w:val="none"/>
                <w:lang w:val="en-US"/>
              </w:rPr>
              <w:t>，良得</w:t>
            </w:r>
            <w:r>
              <w:rPr>
                <w:rFonts w:hint="eastAsia" w:ascii="宋体" w:hAnsi="宋体" w:cs="Times New Roman"/>
                <w:snapToGrid w:val="0"/>
                <w:color w:val="auto"/>
                <w:kern w:val="0"/>
                <w:sz w:val="21"/>
                <w:szCs w:val="21"/>
                <w:highlight w:val="none"/>
                <w:lang w:val="en-US" w:eastAsia="zh-CN"/>
              </w:rPr>
              <w:t>4-4.5</w:t>
            </w:r>
            <w:r>
              <w:rPr>
                <w:rFonts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ascii="宋体" w:hAnsi="宋体" w:eastAsia="宋体" w:cs="Times New Roman"/>
                <w:snapToGrid w:val="0"/>
                <w:color w:val="auto"/>
                <w:kern w:val="0"/>
                <w:sz w:val="21"/>
                <w:szCs w:val="21"/>
                <w:highlight w:val="none"/>
                <w:lang w:val="en-US"/>
              </w:rPr>
              <w:t>，一般得</w:t>
            </w:r>
            <w:r>
              <w:rPr>
                <w:rFonts w:hint="eastAsia" w:ascii="宋体" w:hAnsi="宋体" w:cs="Times New Roman"/>
                <w:snapToGrid w:val="0"/>
                <w:color w:val="auto"/>
                <w:kern w:val="0"/>
                <w:sz w:val="21"/>
                <w:szCs w:val="21"/>
                <w:highlight w:val="none"/>
                <w:lang w:val="en-US" w:eastAsia="zh-CN"/>
              </w:rPr>
              <w:t>3-4</w:t>
            </w:r>
            <w:r>
              <w:rPr>
                <w:rFonts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hint="default" w:ascii="宋体" w:hAnsi="宋体" w:eastAsia="宋体" w:cs="Times New Roman"/>
                <w:snapToGrid w:val="0"/>
                <w:color w:val="auto"/>
                <w:kern w:val="0"/>
                <w:sz w:val="21"/>
                <w:szCs w:val="21"/>
                <w:highlight w:val="none"/>
              </w:rPr>
              <w:t>，</w:t>
            </w:r>
            <w:r>
              <w:rPr>
                <w:rFonts w:hint="default" w:ascii="宋体" w:hAnsi="宋体" w:eastAsia="宋体" w:cs="Times New Roman"/>
                <w:snapToGrid w:val="0"/>
                <w:color w:val="auto"/>
                <w:kern w:val="0"/>
                <w:sz w:val="21"/>
                <w:szCs w:val="21"/>
                <w:highlight w:val="none"/>
                <w:lang w:val="en-US"/>
              </w:rPr>
              <w:t>差得0</w:t>
            </w:r>
            <w:r>
              <w:rPr>
                <w:rFonts w:hint="eastAsia" w:ascii="宋体" w:hAnsi="宋体" w:cs="Times New Roman"/>
                <w:snapToGrid w:val="0"/>
                <w:color w:val="auto"/>
                <w:kern w:val="0"/>
                <w:sz w:val="21"/>
                <w:szCs w:val="21"/>
                <w:highlight w:val="none"/>
                <w:lang w:val="en-US" w:eastAsia="zh-CN"/>
              </w:rPr>
              <w:t>-3</w:t>
            </w:r>
            <w:r>
              <w:rPr>
                <w:rFonts w:hint="default"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hint="default" w:ascii="宋体" w:hAnsi="宋体" w:eastAsia="宋体" w:cs="Times New Roman"/>
                <w:snapToGrid w:val="0"/>
                <w:color w:val="auto"/>
                <w:kern w:val="0"/>
                <w:sz w:val="21"/>
                <w:szCs w:val="21"/>
                <w:highlight w:val="none"/>
                <w:lang w:val="en-US"/>
              </w:rPr>
              <w:t>。（提供用户证明）</w:t>
            </w:r>
          </w:p>
        </w:tc>
      </w:tr>
      <w:tr w14:paraId="6C0E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1CA9FCEB">
            <w:pPr>
              <w:spacing w:line="360" w:lineRule="exact"/>
              <w:jc w:val="center"/>
              <w:rPr>
                <w:rFonts w:ascii="宋体" w:hAnsi="宋体" w:cs="宋体"/>
                <w:szCs w:val="21"/>
              </w:rPr>
            </w:pPr>
          </w:p>
        </w:tc>
        <w:tc>
          <w:tcPr>
            <w:tcW w:w="826" w:type="dxa"/>
            <w:vMerge w:val="continue"/>
            <w:textDirection w:val="tbRlV"/>
            <w:vAlign w:val="center"/>
          </w:tcPr>
          <w:p w14:paraId="3C335CD8">
            <w:pPr>
              <w:spacing w:line="360" w:lineRule="exact"/>
              <w:jc w:val="center"/>
              <w:rPr>
                <w:rFonts w:ascii="宋体" w:hAnsi="宋体" w:cs="宋体"/>
                <w:szCs w:val="21"/>
              </w:rPr>
            </w:pPr>
          </w:p>
        </w:tc>
        <w:tc>
          <w:tcPr>
            <w:tcW w:w="754" w:type="dxa"/>
            <w:gridSpan w:val="2"/>
            <w:vMerge w:val="continue"/>
            <w:textDirection w:val="tbRlV"/>
            <w:vAlign w:val="center"/>
          </w:tcPr>
          <w:p w14:paraId="4327368E">
            <w:pPr>
              <w:spacing w:line="360" w:lineRule="exact"/>
              <w:jc w:val="center"/>
              <w:rPr>
                <w:rFonts w:ascii="宋体" w:hAnsi="宋体" w:cs="宋体"/>
                <w:szCs w:val="21"/>
              </w:rPr>
            </w:pPr>
          </w:p>
        </w:tc>
        <w:tc>
          <w:tcPr>
            <w:tcW w:w="1820" w:type="dxa"/>
            <w:vAlign w:val="center"/>
          </w:tcPr>
          <w:p w14:paraId="42F14B72">
            <w:pPr>
              <w:tabs>
                <w:tab w:val="left" w:pos="1875"/>
              </w:tabs>
              <w:spacing w:line="400" w:lineRule="exact"/>
              <w:jc w:val="center"/>
              <w:rPr>
                <w:rFonts w:ascii="宋体" w:hAnsi="宋体" w:eastAsia="宋体" w:cs="宋体"/>
                <w:szCs w:val="21"/>
              </w:rPr>
            </w:pPr>
            <w:r>
              <w:rPr>
                <w:rFonts w:hint="eastAsia" w:ascii="宋体" w:hAnsi="宋体" w:eastAsia="宋体" w:cs="Times New Roman"/>
                <w:color w:val="auto"/>
                <w:kern w:val="0"/>
                <w:sz w:val="21"/>
                <w:szCs w:val="24"/>
                <w:highlight w:val="none"/>
              </w:rPr>
              <w:t>制造工艺控制</w:t>
            </w:r>
          </w:p>
        </w:tc>
        <w:tc>
          <w:tcPr>
            <w:tcW w:w="5150" w:type="dxa"/>
            <w:vAlign w:val="center"/>
          </w:tcPr>
          <w:p w14:paraId="7212BAEA">
            <w:pPr>
              <w:snapToGrid w:val="0"/>
              <w:spacing w:line="400" w:lineRule="exact"/>
              <w:ind w:firstLine="420" w:firstLineChars="200"/>
              <w:rPr>
                <w:rFonts w:ascii="宋体" w:hAnsi="宋体" w:eastAsia="宋体" w:cs="宋体"/>
                <w:kern w:val="0"/>
                <w:szCs w:val="21"/>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5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eastAsia" w:ascii="宋体" w:hAnsi="宋体"/>
                <w:color w:val="auto"/>
                <w:highlight w:val="none"/>
              </w:rPr>
              <w:t>：</w:t>
            </w:r>
            <w:r>
              <w:rPr>
                <w:rFonts w:hint="default" w:ascii="宋体" w:hAnsi="宋体" w:eastAsia="宋体" w:cs="Times New Roman"/>
                <w:snapToGrid w:val="0"/>
                <w:color w:val="auto"/>
                <w:kern w:val="0"/>
                <w:sz w:val="21"/>
                <w:szCs w:val="21"/>
                <w:highlight w:val="none"/>
              </w:rPr>
              <w:t>以生产厂家提供的主要工艺过程、制造设备、试验设备及主要技术人员等情况进行评审，</w:t>
            </w:r>
            <w:r>
              <w:rPr>
                <w:rFonts w:hint="default" w:ascii="宋体" w:hAnsi="宋体" w:eastAsia="宋体" w:cs="Times New Roman"/>
                <w:snapToGrid w:val="0"/>
                <w:color w:val="auto"/>
                <w:kern w:val="0"/>
                <w:sz w:val="21"/>
                <w:szCs w:val="21"/>
                <w:highlight w:val="none"/>
                <w:lang w:val="en-US"/>
              </w:rPr>
              <w:t>优得</w:t>
            </w:r>
            <w:r>
              <w:rPr>
                <w:rFonts w:hint="eastAsia" w:ascii="宋体" w:hAnsi="宋体" w:cs="Times New Roman"/>
                <w:snapToGrid w:val="0"/>
                <w:color w:val="auto"/>
                <w:kern w:val="0"/>
                <w:sz w:val="21"/>
                <w:szCs w:val="21"/>
                <w:highlight w:val="none"/>
                <w:lang w:val="en-US" w:eastAsia="zh-CN"/>
              </w:rPr>
              <w:t>4.5-5</w:t>
            </w:r>
            <w:r>
              <w:rPr>
                <w:rFonts w:ascii="宋体" w:hAnsi="宋体" w:eastAsia="宋体" w:cs="Times New Roman"/>
                <w:snapToGrid w:val="0"/>
                <w:color w:val="auto"/>
                <w:kern w:val="0"/>
                <w:sz w:val="21"/>
                <w:szCs w:val="21"/>
                <w:highlight w:val="none"/>
                <w:lang w:val="en-US"/>
              </w:rPr>
              <w:t>分</w:t>
            </w:r>
            <w:r>
              <w:rPr>
                <w:rFonts w:hint="default" w:ascii="宋体" w:hAnsi="宋体" w:eastAsia="宋体" w:cs="Times New Roman"/>
                <w:snapToGrid w:val="0"/>
                <w:color w:val="auto"/>
                <w:kern w:val="0"/>
                <w:sz w:val="21"/>
                <w:szCs w:val="21"/>
                <w:highlight w:val="none"/>
                <w:lang w:val="en-US"/>
              </w:rPr>
              <w:t>，良得</w:t>
            </w:r>
            <w:r>
              <w:rPr>
                <w:rFonts w:hint="eastAsia" w:ascii="宋体" w:hAnsi="宋体" w:cs="Times New Roman"/>
                <w:snapToGrid w:val="0"/>
                <w:color w:val="auto"/>
                <w:kern w:val="0"/>
                <w:sz w:val="21"/>
                <w:szCs w:val="21"/>
                <w:highlight w:val="none"/>
                <w:lang w:val="en-US" w:eastAsia="zh-CN"/>
              </w:rPr>
              <w:t>4-4.5</w:t>
            </w:r>
            <w:r>
              <w:rPr>
                <w:rFonts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ascii="宋体" w:hAnsi="宋体" w:eastAsia="宋体" w:cs="Times New Roman"/>
                <w:snapToGrid w:val="0"/>
                <w:color w:val="auto"/>
                <w:kern w:val="0"/>
                <w:sz w:val="21"/>
                <w:szCs w:val="21"/>
                <w:highlight w:val="none"/>
                <w:lang w:val="en-US"/>
              </w:rPr>
              <w:t>，一般得</w:t>
            </w:r>
            <w:r>
              <w:rPr>
                <w:rFonts w:hint="eastAsia" w:ascii="宋体" w:hAnsi="宋体" w:cs="Times New Roman"/>
                <w:snapToGrid w:val="0"/>
                <w:color w:val="auto"/>
                <w:kern w:val="0"/>
                <w:sz w:val="21"/>
                <w:szCs w:val="21"/>
                <w:highlight w:val="none"/>
                <w:lang w:val="en-US" w:eastAsia="zh-CN"/>
              </w:rPr>
              <w:t>3-4</w:t>
            </w:r>
            <w:r>
              <w:rPr>
                <w:rFonts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hint="default" w:ascii="宋体" w:hAnsi="宋体" w:eastAsia="宋体" w:cs="Times New Roman"/>
                <w:snapToGrid w:val="0"/>
                <w:color w:val="auto"/>
                <w:kern w:val="0"/>
                <w:sz w:val="21"/>
                <w:szCs w:val="21"/>
                <w:highlight w:val="none"/>
              </w:rPr>
              <w:t>，</w:t>
            </w:r>
            <w:r>
              <w:rPr>
                <w:rFonts w:hint="default" w:ascii="宋体" w:hAnsi="宋体" w:eastAsia="宋体" w:cs="Times New Roman"/>
                <w:snapToGrid w:val="0"/>
                <w:color w:val="auto"/>
                <w:kern w:val="0"/>
                <w:sz w:val="21"/>
                <w:szCs w:val="21"/>
                <w:highlight w:val="none"/>
                <w:lang w:val="en-US"/>
              </w:rPr>
              <w:t>差得0</w:t>
            </w:r>
            <w:r>
              <w:rPr>
                <w:rFonts w:hint="eastAsia" w:ascii="宋体" w:hAnsi="宋体" w:cs="Times New Roman"/>
                <w:snapToGrid w:val="0"/>
                <w:color w:val="auto"/>
                <w:kern w:val="0"/>
                <w:sz w:val="21"/>
                <w:szCs w:val="21"/>
                <w:highlight w:val="none"/>
                <w:lang w:val="en-US" w:eastAsia="zh-CN"/>
              </w:rPr>
              <w:t>-3</w:t>
            </w:r>
            <w:r>
              <w:rPr>
                <w:rFonts w:hint="default"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hint="default" w:ascii="宋体" w:hAnsi="宋体" w:eastAsia="宋体" w:cs="Times New Roman"/>
                <w:snapToGrid w:val="0"/>
                <w:color w:val="auto"/>
                <w:kern w:val="0"/>
                <w:sz w:val="21"/>
                <w:szCs w:val="21"/>
                <w:highlight w:val="none"/>
                <w:lang w:val="en-US"/>
              </w:rPr>
              <w:t>。</w:t>
            </w:r>
          </w:p>
        </w:tc>
      </w:tr>
      <w:tr w14:paraId="1FAB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4304614F">
            <w:pPr>
              <w:spacing w:line="360" w:lineRule="exact"/>
              <w:jc w:val="center"/>
              <w:rPr>
                <w:rFonts w:ascii="宋体" w:hAnsi="宋体" w:cs="宋体"/>
                <w:szCs w:val="21"/>
              </w:rPr>
            </w:pPr>
          </w:p>
        </w:tc>
        <w:tc>
          <w:tcPr>
            <w:tcW w:w="826" w:type="dxa"/>
            <w:vMerge w:val="continue"/>
            <w:textDirection w:val="tbRlV"/>
            <w:vAlign w:val="center"/>
          </w:tcPr>
          <w:p w14:paraId="04299EE5">
            <w:pPr>
              <w:spacing w:line="360" w:lineRule="exact"/>
              <w:jc w:val="center"/>
              <w:rPr>
                <w:rFonts w:ascii="宋体" w:hAnsi="宋体" w:cs="宋体"/>
                <w:szCs w:val="21"/>
              </w:rPr>
            </w:pPr>
          </w:p>
        </w:tc>
        <w:tc>
          <w:tcPr>
            <w:tcW w:w="754" w:type="dxa"/>
            <w:gridSpan w:val="2"/>
            <w:vMerge w:val="continue"/>
            <w:textDirection w:val="tbRlV"/>
            <w:vAlign w:val="center"/>
          </w:tcPr>
          <w:p w14:paraId="1BD4887C">
            <w:pPr>
              <w:spacing w:line="360" w:lineRule="exact"/>
              <w:jc w:val="center"/>
              <w:rPr>
                <w:rFonts w:ascii="宋体" w:hAnsi="宋体" w:cs="宋体"/>
                <w:szCs w:val="21"/>
              </w:rPr>
            </w:pPr>
          </w:p>
        </w:tc>
        <w:tc>
          <w:tcPr>
            <w:tcW w:w="1820" w:type="dxa"/>
            <w:vAlign w:val="center"/>
          </w:tcPr>
          <w:p w14:paraId="30A6831D">
            <w:pPr>
              <w:tabs>
                <w:tab w:val="left" w:pos="1875"/>
              </w:tabs>
              <w:spacing w:line="400" w:lineRule="exact"/>
              <w:jc w:val="center"/>
              <w:rPr>
                <w:rFonts w:ascii="宋体" w:hAnsi="宋体" w:eastAsia="宋体" w:cs="宋体"/>
                <w:kern w:val="0"/>
                <w:szCs w:val="21"/>
              </w:rPr>
            </w:pPr>
            <w:r>
              <w:rPr>
                <w:rFonts w:hint="eastAsia" w:ascii="宋体" w:hAnsi="宋体" w:eastAsia="宋体" w:cs="Times New Roman"/>
                <w:color w:val="auto"/>
                <w:kern w:val="0"/>
                <w:sz w:val="21"/>
                <w:szCs w:val="24"/>
                <w:highlight w:val="none"/>
              </w:rPr>
              <w:t>制造质量保证措施</w:t>
            </w:r>
          </w:p>
        </w:tc>
        <w:tc>
          <w:tcPr>
            <w:tcW w:w="5150" w:type="dxa"/>
            <w:vAlign w:val="center"/>
          </w:tcPr>
          <w:p w14:paraId="4679DC93">
            <w:pPr>
              <w:snapToGrid w:val="0"/>
              <w:spacing w:line="400" w:lineRule="exact"/>
              <w:ind w:firstLine="420" w:firstLineChars="200"/>
              <w:rPr>
                <w:rFonts w:ascii="宋体" w:hAnsi="宋体" w:eastAsia="宋体" w:cs="宋体"/>
                <w:kern w:val="0"/>
                <w:szCs w:val="21"/>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5</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default" w:ascii="宋体" w:hAnsi="宋体"/>
                <w:snapToGrid w:val="0"/>
                <w:color w:val="auto"/>
                <w:kern w:val="0"/>
                <w:szCs w:val="21"/>
                <w:highlight w:val="none"/>
              </w:rPr>
              <w:t>：</w:t>
            </w:r>
            <w:r>
              <w:rPr>
                <w:rFonts w:hint="default" w:ascii="宋体" w:hAnsi="宋体" w:eastAsia="宋体" w:cs="Times New Roman"/>
                <w:snapToGrid w:val="0"/>
                <w:color w:val="auto"/>
                <w:kern w:val="0"/>
                <w:sz w:val="21"/>
                <w:szCs w:val="21"/>
                <w:highlight w:val="none"/>
              </w:rPr>
              <w:t>以生产厂家提供的质量管理体系、质量控制流程、质量标准等进行评审，</w:t>
            </w:r>
            <w:r>
              <w:rPr>
                <w:rFonts w:hint="default" w:ascii="宋体" w:hAnsi="宋体" w:eastAsia="宋体" w:cs="Times New Roman"/>
                <w:snapToGrid w:val="0"/>
                <w:color w:val="auto"/>
                <w:kern w:val="0"/>
                <w:sz w:val="21"/>
                <w:szCs w:val="21"/>
                <w:highlight w:val="none"/>
                <w:lang w:val="en-US"/>
              </w:rPr>
              <w:t>优得</w:t>
            </w:r>
            <w:r>
              <w:rPr>
                <w:rFonts w:hint="eastAsia" w:ascii="宋体" w:hAnsi="宋体" w:cs="Times New Roman"/>
                <w:snapToGrid w:val="0"/>
                <w:color w:val="auto"/>
                <w:kern w:val="0"/>
                <w:sz w:val="21"/>
                <w:szCs w:val="21"/>
                <w:highlight w:val="none"/>
                <w:lang w:val="en-US" w:eastAsia="zh-CN"/>
              </w:rPr>
              <w:t>4.5-5</w:t>
            </w:r>
            <w:r>
              <w:rPr>
                <w:rFonts w:ascii="宋体" w:hAnsi="宋体" w:eastAsia="宋体" w:cs="Times New Roman"/>
                <w:snapToGrid w:val="0"/>
                <w:color w:val="auto"/>
                <w:kern w:val="0"/>
                <w:sz w:val="21"/>
                <w:szCs w:val="21"/>
                <w:highlight w:val="none"/>
                <w:lang w:val="en-US"/>
              </w:rPr>
              <w:t>分</w:t>
            </w:r>
            <w:r>
              <w:rPr>
                <w:rFonts w:hint="default" w:ascii="宋体" w:hAnsi="宋体" w:eastAsia="宋体" w:cs="Times New Roman"/>
                <w:snapToGrid w:val="0"/>
                <w:color w:val="auto"/>
                <w:kern w:val="0"/>
                <w:sz w:val="21"/>
                <w:szCs w:val="21"/>
                <w:highlight w:val="none"/>
                <w:lang w:val="en-US"/>
              </w:rPr>
              <w:t>，良得</w:t>
            </w:r>
            <w:r>
              <w:rPr>
                <w:rFonts w:hint="eastAsia" w:ascii="宋体" w:hAnsi="宋体" w:cs="Times New Roman"/>
                <w:snapToGrid w:val="0"/>
                <w:color w:val="auto"/>
                <w:kern w:val="0"/>
                <w:sz w:val="21"/>
                <w:szCs w:val="21"/>
                <w:highlight w:val="none"/>
                <w:lang w:val="en-US" w:eastAsia="zh-CN"/>
              </w:rPr>
              <w:t>4-4.5</w:t>
            </w:r>
            <w:r>
              <w:rPr>
                <w:rFonts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ascii="宋体" w:hAnsi="宋体" w:eastAsia="宋体" w:cs="Times New Roman"/>
                <w:snapToGrid w:val="0"/>
                <w:color w:val="auto"/>
                <w:kern w:val="0"/>
                <w:sz w:val="21"/>
                <w:szCs w:val="21"/>
                <w:highlight w:val="none"/>
                <w:lang w:val="en-US"/>
              </w:rPr>
              <w:t>，一般得</w:t>
            </w:r>
            <w:r>
              <w:rPr>
                <w:rFonts w:hint="eastAsia" w:ascii="宋体" w:hAnsi="宋体" w:cs="Times New Roman"/>
                <w:snapToGrid w:val="0"/>
                <w:color w:val="auto"/>
                <w:kern w:val="0"/>
                <w:sz w:val="21"/>
                <w:szCs w:val="21"/>
                <w:highlight w:val="none"/>
                <w:lang w:val="en-US" w:eastAsia="zh-CN"/>
              </w:rPr>
              <w:t>3-4</w:t>
            </w:r>
            <w:r>
              <w:rPr>
                <w:rFonts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hint="default" w:ascii="宋体" w:hAnsi="宋体" w:eastAsia="宋体" w:cs="Times New Roman"/>
                <w:snapToGrid w:val="0"/>
                <w:color w:val="auto"/>
                <w:kern w:val="0"/>
                <w:sz w:val="21"/>
                <w:szCs w:val="21"/>
                <w:highlight w:val="none"/>
              </w:rPr>
              <w:t>，</w:t>
            </w:r>
            <w:r>
              <w:rPr>
                <w:rFonts w:hint="default" w:ascii="宋体" w:hAnsi="宋体" w:eastAsia="宋体" w:cs="Times New Roman"/>
                <w:snapToGrid w:val="0"/>
                <w:color w:val="auto"/>
                <w:kern w:val="0"/>
                <w:sz w:val="21"/>
                <w:szCs w:val="21"/>
                <w:highlight w:val="none"/>
                <w:lang w:val="en-US"/>
              </w:rPr>
              <w:t>差得0</w:t>
            </w:r>
            <w:r>
              <w:rPr>
                <w:rFonts w:hint="eastAsia" w:ascii="宋体" w:hAnsi="宋体" w:cs="Times New Roman"/>
                <w:snapToGrid w:val="0"/>
                <w:color w:val="auto"/>
                <w:kern w:val="0"/>
                <w:sz w:val="21"/>
                <w:szCs w:val="21"/>
                <w:highlight w:val="none"/>
                <w:lang w:val="en-US" w:eastAsia="zh-CN"/>
              </w:rPr>
              <w:t>-3</w:t>
            </w:r>
            <w:r>
              <w:rPr>
                <w:rFonts w:hint="default"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hint="default" w:ascii="宋体" w:hAnsi="宋体" w:eastAsia="宋体" w:cs="Times New Roman"/>
                <w:snapToGrid w:val="0"/>
                <w:color w:val="auto"/>
                <w:kern w:val="0"/>
                <w:sz w:val="21"/>
                <w:szCs w:val="21"/>
                <w:highlight w:val="none"/>
                <w:lang w:val="en-US"/>
              </w:rPr>
              <w:t>。</w:t>
            </w:r>
          </w:p>
        </w:tc>
      </w:tr>
      <w:tr w14:paraId="72B3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vAlign w:val="center"/>
          </w:tcPr>
          <w:p w14:paraId="51988CB2">
            <w:pPr>
              <w:spacing w:line="360" w:lineRule="exact"/>
              <w:jc w:val="center"/>
              <w:rPr>
                <w:rFonts w:ascii="宋体" w:hAnsi="宋体" w:cs="宋体"/>
                <w:szCs w:val="21"/>
              </w:rPr>
            </w:pPr>
          </w:p>
        </w:tc>
        <w:tc>
          <w:tcPr>
            <w:tcW w:w="826" w:type="dxa"/>
            <w:vMerge w:val="continue"/>
            <w:textDirection w:val="tbRlV"/>
            <w:vAlign w:val="center"/>
          </w:tcPr>
          <w:p w14:paraId="2D90B2C2">
            <w:pPr>
              <w:spacing w:line="360" w:lineRule="exact"/>
              <w:jc w:val="center"/>
              <w:rPr>
                <w:rFonts w:ascii="宋体" w:hAnsi="宋体" w:cs="宋体"/>
                <w:szCs w:val="21"/>
              </w:rPr>
            </w:pPr>
          </w:p>
        </w:tc>
        <w:tc>
          <w:tcPr>
            <w:tcW w:w="754" w:type="dxa"/>
            <w:gridSpan w:val="2"/>
            <w:vMerge w:val="continue"/>
            <w:textDirection w:val="tbRlV"/>
            <w:vAlign w:val="center"/>
          </w:tcPr>
          <w:p w14:paraId="0AB6BAEC">
            <w:pPr>
              <w:spacing w:line="360" w:lineRule="exact"/>
              <w:jc w:val="center"/>
              <w:rPr>
                <w:rFonts w:ascii="宋体" w:hAnsi="宋体" w:cs="宋体"/>
                <w:szCs w:val="21"/>
              </w:rPr>
            </w:pPr>
          </w:p>
        </w:tc>
        <w:tc>
          <w:tcPr>
            <w:tcW w:w="1820" w:type="dxa"/>
            <w:vAlign w:val="center"/>
          </w:tcPr>
          <w:p w14:paraId="3363BED7">
            <w:pPr>
              <w:tabs>
                <w:tab w:val="left" w:pos="1875"/>
              </w:tabs>
              <w:spacing w:line="400" w:lineRule="exact"/>
              <w:jc w:val="center"/>
              <w:rPr>
                <w:rFonts w:hint="eastAsia" w:ascii="宋体" w:hAnsi="宋体" w:eastAsia="宋体" w:cs="Times New Roman"/>
                <w:color w:val="auto"/>
                <w:kern w:val="0"/>
                <w:sz w:val="21"/>
                <w:szCs w:val="24"/>
                <w:highlight w:val="none"/>
              </w:rPr>
            </w:pPr>
            <w:r>
              <w:rPr>
                <w:rFonts w:hint="eastAsia" w:ascii="宋体" w:hAnsi="宋体" w:eastAsia="宋体" w:cs="Times New Roman"/>
                <w:color w:val="auto"/>
                <w:kern w:val="0"/>
                <w:sz w:val="21"/>
                <w:szCs w:val="24"/>
                <w:highlight w:val="none"/>
              </w:rPr>
              <w:t>售后服务方案</w:t>
            </w:r>
          </w:p>
        </w:tc>
        <w:tc>
          <w:tcPr>
            <w:tcW w:w="5150" w:type="dxa"/>
            <w:vAlign w:val="center"/>
          </w:tcPr>
          <w:p w14:paraId="3F739E3F">
            <w:pPr>
              <w:snapToGrid/>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5</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评审</w:t>
            </w:r>
            <w:r>
              <w:rPr>
                <w:rFonts w:ascii="宋体" w:hAnsi="宋体"/>
                <w:color w:val="auto"/>
                <w:highlight w:val="none"/>
              </w:rPr>
              <w:t>要点</w:t>
            </w:r>
            <w:r>
              <w:rPr>
                <w:rFonts w:hint="default" w:ascii="宋体" w:hAnsi="宋体"/>
                <w:color w:val="auto"/>
                <w:highlight w:val="none"/>
              </w:rPr>
              <w:t>：</w:t>
            </w:r>
            <w:r>
              <w:rPr>
                <w:rFonts w:hint="default" w:ascii="宋体" w:hAnsi="宋体" w:eastAsia="宋体" w:cs="Times New Roman"/>
                <w:color w:val="auto"/>
                <w:sz w:val="21"/>
                <w:szCs w:val="24"/>
                <w:highlight w:val="none"/>
              </w:rPr>
              <w:t>按照招标文件要求，提出完整的售后服务方案，包括维修响应时间、质保期内服务方式、质保期外服务方式、是否能够提供损坏备用品及其他服务承诺等，根据方案优劣评分</w:t>
            </w:r>
            <w:r>
              <w:rPr>
                <w:rFonts w:hint="eastAsia" w:ascii="宋体" w:hAnsi="宋体" w:eastAsia="宋体" w:cs="Times New Roman"/>
                <w:color w:val="auto"/>
                <w:sz w:val="21"/>
                <w:szCs w:val="24"/>
                <w:highlight w:val="none"/>
                <w:lang w:eastAsia="zh-CN"/>
              </w:rPr>
              <w:t>，</w:t>
            </w:r>
            <w:r>
              <w:rPr>
                <w:rFonts w:hint="default" w:ascii="宋体" w:hAnsi="宋体" w:eastAsia="宋体" w:cs="Times New Roman"/>
                <w:snapToGrid w:val="0"/>
                <w:color w:val="auto"/>
                <w:kern w:val="0"/>
                <w:sz w:val="21"/>
                <w:szCs w:val="21"/>
                <w:highlight w:val="none"/>
                <w:lang w:val="en-US"/>
              </w:rPr>
              <w:t>优得</w:t>
            </w:r>
            <w:r>
              <w:rPr>
                <w:rFonts w:hint="eastAsia" w:ascii="宋体" w:hAnsi="宋体" w:cs="Times New Roman"/>
                <w:snapToGrid w:val="0"/>
                <w:color w:val="auto"/>
                <w:kern w:val="0"/>
                <w:sz w:val="21"/>
                <w:szCs w:val="21"/>
                <w:highlight w:val="none"/>
                <w:lang w:val="en-US" w:eastAsia="zh-CN"/>
              </w:rPr>
              <w:t>4.5-5</w:t>
            </w:r>
            <w:r>
              <w:rPr>
                <w:rFonts w:ascii="宋体" w:hAnsi="宋体" w:eastAsia="宋体" w:cs="Times New Roman"/>
                <w:snapToGrid w:val="0"/>
                <w:color w:val="auto"/>
                <w:kern w:val="0"/>
                <w:sz w:val="21"/>
                <w:szCs w:val="21"/>
                <w:highlight w:val="none"/>
                <w:lang w:val="en-US"/>
              </w:rPr>
              <w:t>分</w:t>
            </w:r>
            <w:r>
              <w:rPr>
                <w:rFonts w:hint="default" w:ascii="宋体" w:hAnsi="宋体" w:eastAsia="宋体" w:cs="Times New Roman"/>
                <w:snapToGrid w:val="0"/>
                <w:color w:val="auto"/>
                <w:kern w:val="0"/>
                <w:sz w:val="21"/>
                <w:szCs w:val="21"/>
                <w:highlight w:val="none"/>
                <w:lang w:val="en-US"/>
              </w:rPr>
              <w:t>，良得</w:t>
            </w:r>
            <w:r>
              <w:rPr>
                <w:rFonts w:hint="eastAsia" w:ascii="宋体" w:hAnsi="宋体" w:cs="Times New Roman"/>
                <w:snapToGrid w:val="0"/>
                <w:color w:val="auto"/>
                <w:kern w:val="0"/>
                <w:sz w:val="21"/>
                <w:szCs w:val="21"/>
                <w:highlight w:val="none"/>
                <w:lang w:val="en-US" w:eastAsia="zh-CN"/>
              </w:rPr>
              <w:t>4-4.5</w:t>
            </w:r>
            <w:r>
              <w:rPr>
                <w:rFonts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ascii="宋体" w:hAnsi="宋体" w:eastAsia="宋体" w:cs="Times New Roman"/>
                <w:snapToGrid w:val="0"/>
                <w:color w:val="auto"/>
                <w:kern w:val="0"/>
                <w:sz w:val="21"/>
                <w:szCs w:val="21"/>
                <w:highlight w:val="none"/>
                <w:lang w:val="en-US"/>
              </w:rPr>
              <w:t>，一般得</w:t>
            </w:r>
            <w:r>
              <w:rPr>
                <w:rFonts w:hint="eastAsia" w:ascii="宋体" w:hAnsi="宋体" w:cs="Times New Roman"/>
                <w:snapToGrid w:val="0"/>
                <w:color w:val="auto"/>
                <w:kern w:val="0"/>
                <w:sz w:val="21"/>
                <w:szCs w:val="21"/>
                <w:highlight w:val="none"/>
                <w:lang w:val="en-US" w:eastAsia="zh-CN"/>
              </w:rPr>
              <w:t>3-4</w:t>
            </w:r>
            <w:r>
              <w:rPr>
                <w:rFonts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hint="default" w:ascii="宋体" w:hAnsi="宋体" w:eastAsia="宋体" w:cs="Times New Roman"/>
                <w:snapToGrid w:val="0"/>
                <w:color w:val="auto"/>
                <w:kern w:val="0"/>
                <w:sz w:val="21"/>
                <w:szCs w:val="21"/>
                <w:highlight w:val="none"/>
              </w:rPr>
              <w:t>，</w:t>
            </w:r>
            <w:r>
              <w:rPr>
                <w:rFonts w:hint="default" w:ascii="宋体" w:hAnsi="宋体" w:eastAsia="宋体" w:cs="Times New Roman"/>
                <w:snapToGrid w:val="0"/>
                <w:color w:val="auto"/>
                <w:kern w:val="0"/>
                <w:sz w:val="21"/>
                <w:szCs w:val="21"/>
                <w:highlight w:val="none"/>
                <w:lang w:val="en-US"/>
              </w:rPr>
              <w:t>差得0</w:t>
            </w:r>
            <w:r>
              <w:rPr>
                <w:rFonts w:hint="eastAsia" w:ascii="宋体" w:hAnsi="宋体" w:cs="Times New Roman"/>
                <w:snapToGrid w:val="0"/>
                <w:color w:val="auto"/>
                <w:kern w:val="0"/>
                <w:sz w:val="21"/>
                <w:szCs w:val="21"/>
                <w:highlight w:val="none"/>
                <w:lang w:val="en-US" w:eastAsia="zh-CN"/>
              </w:rPr>
              <w:t>-3</w:t>
            </w:r>
            <w:r>
              <w:rPr>
                <w:rFonts w:hint="default" w:ascii="宋体" w:hAnsi="宋体" w:eastAsia="宋体" w:cs="Times New Roman"/>
                <w:snapToGrid w:val="0"/>
                <w:color w:val="auto"/>
                <w:kern w:val="0"/>
                <w:sz w:val="21"/>
                <w:szCs w:val="21"/>
                <w:highlight w:val="none"/>
                <w:lang w:val="en-US"/>
              </w:rPr>
              <w:t>分</w:t>
            </w:r>
            <w:r>
              <w:rPr>
                <w:rFonts w:hint="eastAsia" w:ascii="宋体" w:hAnsi="宋体" w:cs="Times New Roman"/>
                <w:snapToGrid w:val="0"/>
                <w:color w:val="auto"/>
                <w:kern w:val="0"/>
                <w:sz w:val="21"/>
                <w:szCs w:val="21"/>
                <w:highlight w:val="none"/>
                <w:lang w:val="en-US" w:eastAsia="zh-CN"/>
              </w:rPr>
              <w:t>（不含）</w:t>
            </w:r>
            <w:r>
              <w:rPr>
                <w:rFonts w:hint="default" w:ascii="宋体" w:hAnsi="宋体" w:eastAsia="宋体" w:cs="Times New Roman"/>
                <w:snapToGrid w:val="0"/>
                <w:color w:val="auto"/>
                <w:kern w:val="0"/>
                <w:sz w:val="21"/>
                <w:szCs w:val="21"/>
                <w:highlight w:val="none"/>
                <w:lang w:val="en-US"/>
              </w:rPr>
              <w:t>。</w:t>
            </w:r>
          </w:p>
        </w:tc>
      </w:tr>
      <w:tr w14:paraId="4881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Merge w:val="continue"/>
          </w:tcPr>
          <w:p w14:paraId="10FB235B">
            <w:pPr>
              <w:spacing w:line="360" w:lineRule="exact"/>
              <w:jc w:val="center"/>
              <w:rPr>
                <w:rFonts w:ascii="宋体" w:hAnsi="宋体" w:cs="宋体"/>
                <w:szCs w:val="21"/>
              </w:rPr>
            </w:pPr>
          </w:p>
        </w:tc>
        <w:tc>
          <w:tcPr>
            <w:tcW w:w="826" w:type="dxa"/>
            <w:vMerge w:val="continue"/>
          </w:tcPr>
          <w:p w14:paraId="35E4C368">
            <w:pPr>
              <w:spacing w:line="360" w:lineRule="exact"/>
              <w:jc w:val="center"/>
              <w:rPr>
                <w:rFonts w:ascii="宋体" w:hAnsi="宋体" w:cs="宋体"/>
                <w:szCs w:val="21"/>
              </w:rPr>
            </w:pPr>
          </w:p>
        </w:tc>
        <w:tc>
          <w:tcPr>
            <w:tcW w:w="754" w:type="dxa"/>
            <w:gridSpan w:val="2"/>
            <w:vMerge w:val="continue"/>
          </w:tcPr>
          <w:p w14:paraId="0E14A967">
            <w:pPr>
              <w:spacing w:line="360" w:lineRule="exact"/>
              <w:jc w:val="center"/>
              <w:rPr>
                <w:rFonts w:ascii="宋体" w:hAnsi="宋体" w:cs="宋体"/>
                <w:szCs w:val="21"/>
              </w:rPr>
            </w:pPr>
          </w:p>
        </w:tc>
        <w:tc>
          <w:tcPr>
            <w:tcW w:w="1820" w:type="dxa"/>
            <w:vAlign w:val="center"/>
          </w:tcPr>
          <w:p w14:paraId="011E434C">
            <w:pPr>
              <w:tabs>
                <w:tab w:val="left" w:pos="1875"/>
              </w:tabs>
              <w:spacing w:line="400" w:lineRule="exact"/>
              <w:jc w:val="center"/>
              <w:rPr>
                <w:rFonts w:hint="eastAsia" w:ascii="宋体" w:hAnsi="宋体" w:eastAsia="方正仿宋_GBK" w:cs="宋体"/>
                <w:kern w:val="0"/>
                <w:szCs w:val="21"/>
                <w:lang w:eastAsia="zh-CN"/>
              </w:rPr>
            </w:pPr>
            <w:r>
              <w:rPr>
                <w:rFonts w:hint="eastAsia" w:ascii="宋体" w:hAnsi="宋体" w:cs="Times New Roman"/>
                <w:color w:val="auto"/>
                <w:kern w:val="0"/>
                <w:sz w:val="21"/>
                <w:szCs w:val="24"/>
                <w:highlight w:val="yellow"/>
                <w:lang w:val="en-US" w:eastAsia="zh-CN"/>
              </w:rPr>
              <w:t>检测报告</w:t>
            </w:r>
          </w:p>
        </w:tc>
        <w:tc>
          <w:tcPr>
            <w:tcW w:w="5150" w:type="dxa"/>
            <w:vAlign w:val="center"/>
          </w:tcPr>
          <w:p w14:paraId="6DD6B1CB">
            <w:pPr>
              <w:snapToGrid w:val="0"/>
              <w:spacing w:line="400" w:lineRule="exact"/>
              <w:ind w:firstLine="420" w:firstLineChars="200"/>
              <w:rPr>
                <w:rFonts w:ascii="宋体" w:hAnsi="宋体" w:eastAsia="宋体" w:cs="宋体"/>
                <w:kern w:val="0"/>
                <w:szCs w:val="21"/>
              </w:rPr>
            </w:pPr>
            <w:r>
              <w:rPr>
                <w:rFonts w:hint="eastAsia" w:ascii="宋体" w:hAnsi="宋体"/>
                <w:color w:val="auto"/>
                <w:highlight w:val="none"/>
                <w:u w:val="single"/>
                <w:lang w:val="en-US" w:eastAsia="zh-CN"/>
              </w:rPr>
              <w:t xml:space="preserve">    7    </w:t>
            </w:r>
            <w:r>
              <w:rPr>
                <w:rFonts w:ascii="宋体" w:hAnsi="宋体"/>
                <w:color w:val="auto"/>
                <w:highlight w:val="yellow"/>
              </w:rPr>
              <w:t xml:space="preserve">分   </w:t>
            </w:r>
            <w:r>
              <w:rPr>
                <w:rFonts w:hint="eastAsia" w:ascii="宋体" w:hAnsi="宋体"/>
                <w:color w:val="auto"/>
                <w:highlight w:val="yellow"/>
              </w:rPr>
              <w:t>评审</w:t>
            </w:r>
            <w:r>
              <w:rPr>
                <w:rFonts w:ascii="宋体" w:hAnsi="宋体"/>
                <w:color w:val="auto"/>
                <w:highlight w:val="yellow"/>
              </w:rPr>
              <w:t>要点</w:t>
            </w:r>
            <w:r>
              <w:rPr>
                <w:rFonts w:hint="default" w:ascii="宋体" w:hAnsi="宋体"/>
                <w:snapToGrid w:val="0"/>
                <w:color w:val="auto"/>
                <w:kern w:val="0"/>
                <w:szCs w:val="21"/>
                <w:highlight w:val="yellow"/>
              </w:rPr>
              <w:t>：</w:t>
            </w:r>
            <w:r>
              <w:rPr>
                <w:rFonts w:hint="eastAsia" w:ascii="宋体" w:hAnsi="宋体" w:cs="Times New Roman"/>
                <w:snapToGrid w:val="0"/>
                <w:color w:val="auto"/>
                <w:kern w:val="0"/>
                <w:sz w:val="21"/>
                <w:szCs w:val="21"/>
                <w:highlight w:val="yellow"/>
                <w:lang w:val="en-US" w:eastAsia="zh-CN"/>
              </w:rPr>
              <w:t>对型式试验报告</w:t>
            </w:r>
            <w:r>
              <w:rPr>
                <w:rFonts w:hint="eastAsia" w:ascii="宋体" w:hAnsi="宋体" w:cs="Times New Roman"/>
                <w:snapToGrid w:val="0"/>
                <w:color w:val="auto"/>
                <w:kern w:val="0"/>
                <w:sz w:val="21"/>
                <w:szCs w:val="21"/>
                <w:highlight w:val="yellow"/>
                <w:u w:val="none"/>
                <w:lang w:val="en-US" w:eastAsia="zh-CN"/>
              </w:rPr>
              <w:t>关键技术参数等结果</w:t>
            </w:r>
            <w:r>
              <w:rPr>
                <w:rFonts w:hint="default" w:ascii="宋体" w:hAnsi="宋体" w:eastAsia="宋体" w:cs="Times New Roman"/>
                <w:snapToGrid w:val="0"/>
                <w:color w:val="auto"/>
                <w:kern w:val="0"/>
                <w:sz w:val="21"/>
                <w:szCs w:val="21"/>
                <w:highlight w:val="yellow"/>
              </w:rPr>
              <w:t>进行评审，</w:t>
            </w:r>
            <w:r>
              <w:rPr>
                <w:rFonts w:hint="default" w:ascii="宋体" w:hAnsi="宋体" w:eastAsia="宋体" w:cs="Times New Roman"/>
                <w:snapToGrid w:val="0"/>
                <w:color w:val="auto"/>
                <w:kern w:val="0"/>
                <w:sz w:val="21"/>
                <w:szCs w:val="21"/>
                <w:highlight w:val="yellow"/>
                <w:lang w:val="en-US"/>
              </w:rPr>
              <w:t>优得</w:t>
            </w:r>
            <w:r>
              <w:rPr>
                <w:rFonts w:hint="eastAsia" w:ascii="宋体" w:hAnsi="宋体" w:cs="Times New Roman"/>
                <w:snapToGrid w:val="0"/>
                <w:color w:val="FF0000"/>
                <w:kern w:val="0"/>
                <w:sz w:val="21"/>
                <w:szCs w:val="21"/>
                <w:highlight w:val="yellow"/>
                <w:lang w:val="en-US" w:eastAsia="zh-CN"/>
              </w:rPr>
              <w:t>6.3-7</w:t>
            </w:r>
            <w:r>
              <w:rPr>
                <w:rFonts w:ascii="宋体" w:hAnsi="宋体" w:eastAsia="宋体" w:cs="Times New Roman"/>
                <w:snapToGrid w:val="0"/>
                <w:color w:val="FF0000"/>
                <w:kern w:val="0"/>
                <w:sz w:val="21"/>
                <w:szCs w:val="21"/>
                <w:highlight w:val="yellow"/>
                <w:lang w:val="en-US"/>
              </w:rPr>
              <w:t>分</w:t>
            </w:r>
            <w:r>
              <w:rPr>
                <w:rFonts w:hint="default" w:ascii="宋体" w:hAnsi="宋体" w:eastAsia="宋体" w:cs="Times New Roman"/>
                <w:snapToGrid w:val="0"/>
                <w:color w:val="FF0000"/>
                <w:kern w:val="0"/>
                <w:sz w:val="21"/>
                <w:szCs w:val="21"/>
                <w:highlight w:val="yellow"/>
                <w:lang w:val="en-US"/>
              </w:rPr>
              <w:t>，良得</w:t>
            </w:r>
            <w:r>
              <w:rPr>
                <w:rFonts w:hint="eastAsia" w:ascii="宋体" w:hAnsi="宋体" w:cs="Times New Roman"/>
                <w:snapToGrid w:val="0"/>
                <w:color w:val="FF0000"/>
                <w:kern w:val="0"/>
                <w:sz w:val="21"/>
                <w:szCs w:val="21"/>
                <w:highlight w:val="yellow"/>
                <w:lang w:val="en-US" w:eastAsia="zh-CN"/>
              </w:rPr>
              <w:t>5.6-6.3</w:t>
            </w:r>
            <w:r>
              <w:rPr>
                <w:rFonts w:ascii="宋体" w:hAnsi="宋体" w:eastAsia="宋体" w:cs="Times New Roman"/>
                <w:snapToGrid w:val="0"/>
                <w:color w:val="FF0000"/>
                <w:kern w:val="0"/>
                <w:sz w:val="21"/>
                <w:szCs w:val="21"/>
                <w:highlight w:val="yellow"/>
                <w:lang w:val="en-US"/>
              </w:rPr>
              <w:t>分</w:t>
            </w:r>
            <w:r>
              <w:rPr>
                <w:rFonts w:hint="eastAsia" w:ascii="宋体" w:hAnsi="宋体" w:cs="Times New Roman"/>
                <w:snapToGrid w:val="0"/>
                <w:color w:val="FF0000"/>
                <w:kern w:val="0"/>
                <w:sz w:val="21"/>
                <w:szCs w:val="21"/>
                <w:highlight w:val="yellow"/>
                <w:lang w:val="en-US" w:eastAsia="zh-CN"/>
              </w:rPr>
              <w:t>（不含）</w:t>
            </w:r>
            <w:r>
              <w:rPr>
                <w:rFonts w:ascii="宋体" w:hAnsi="宋体" w:eastAsia="宋体" w:cs="Times New Roman"/>
                <w:snapToGrid w:val="0"/>
                <w:color w:val="FF0000"/>
                <w:kern w:val="0"/>
                <w:sz w:val="21"/>
                <w:szCs w:val="21"/>
                <w:highlight w:val="yellow"/>
                <w:lang w:val="en-US"/>
              </w:rPr>
              <w:t>，一般得</w:t>
            </w:r>
            <w:r>
              <w:rPr>
                <w:rFonts w:hint="eastAsia" w:ascii="宋体" w:hAnsi="宋体" w:cs="Times New Roman"/>
                <w:snapToGrid w:val="0"/>
                <w:color w:val="FF0000"/>
                <w:kern w:val="0"/>
                <w:sz w:val="21"/>
                <w:szCs w:val="21"/>
                <w:highlight w:val="yellow"/>
                <w:lang w:val="en-US" w:eastAsia="zh-CN"/>
              </w:rPr>
              <w:t>4.2-5.6</w:t>
            </w:r>
            <w:r>
              <w:rPr>
                <w:rFonts w:ascii="宋体" w:hAnsi="宋体" w:eastAsia="宋体" w:cs="Times New Roman"/>
                <w:snapToGrid w:val="0"/>
                <w:color w:val="FF0000"/>
                <w:kern w:val="0"/>
                <w:sz w:val="21"/>
                <w:szCs w:val="21"/>
                <w:highlight w:val="yellow"/>
                <w:lang w:val="en-US"/>
              </w:rPr>
              <w:t>分</w:t>
            </w:r>
            <w:r>
              <w:rPr>
                <w:rFonts w:hint="eastAsia" w:ascii="宋体" w:hAnsi="宋体" w:cs="Times New Roman"/>
                <w:snapToGrid w:val="0"/>
                <w:color w:val="FF0000"/>
                <w:kern w:val="0"/>
                <w:sz w:val="21"/>
                <w:szCs w:val="21"/>
                <w:highlight w:val="yellow"/>
                <w:lang w:val="en-US" w:eastAsia="zh-CN"/>
              </w:rPr>
              <w:t>（不含）</w:t>
            </w:r>
            <w:r>
              <w:rPr>
                <w:rFonts w:hint="default" w:ascii="宋体" w:hAnsi="宋体" w:eastAsia="宋体" w:cs="Times New Roman"/>
                <w:snapToGrid w:val="0"/>
                <w:color w:val="FF0000"/>
                <w:kern w:val="0"/>
                <w:sz w:val="21"/>
                <w:szCs w:val="21"/>
                <w:highlight w:val="yellow"/>
              </w:rPr>
              <w:t>，</w:t>
            </w:r>
            <w:r>
              <w:rPr>
                <w:rFonts w:hint="default" w:ascii="宋体" w:hAnsi="宋体" w:eastAsia="宋体" w:cs="Times New Roman"/>
                <w:snapToGrid w:val="0"/>
                <w:color w:val="FF0000"/>
                <w:kern w:val="0"/>
                <w:sz w:val="21"/>
                <w:szCs w:val="21"/>
                <w:highlight w:val="yellow"/>
                <w:lang w:val="en-US"/>
              </w:rPr>
              <w:t>差得0</w:t>
            </w:r>
            <w:r>
              <w:rPr>
                <w:rFonts w:hint="eastAsia" w:ascii="宋体" w:hAnsi="宋体" w:cs="Times New Roman"/>
                <w:snapToGrid w:val="0"/>
                <w:color w:val="FF0000"/>
                <w:kern w:val="0"/>
                <w:sz w:val="21"/>
                <w:szCs w:val="21"/>
                <w:highlight w:val="yellow"/>
                <w:lang w:val="en-US" w:eastAsia="zh-CN"/>
              </w:rPr>
              <w:t>-4.2</w:t>
            </w:r>
            <w:r>
              <w:rPr>
                <w:rFonts w:hint="default" w:ascii="宋体" w:hAnsi="宋体" w:eastAsia="宋体" w:cs="Times New Roman"/>
                <w:snapToGrid w:val="0"/>
                <w:color w:val="FF0000"/>
                <w:kern w:val="0"/>
                <w:sz w:val="21"/>
                <w:szCs w:val="21"/>
                <w:highlight w:val="yellow"/>
                <w:lang w:val="en-US"/>
              </w:rPr>
              <w:t>分</w:t>
            </w:r>
            <w:r>
              <w:rPr>
                <w:rFonts w:hint="eastAsia" w:ascii="宋体" w:hAnsi="宋体" w:cs="Times New Roman"/>
                <w:snapToGrid w:val="0"/>
                <w:color w:val="FF0000"/>
                <w:kern w:val="0"/>
                <w:sz w:val="21"/>
                <w:szCs w:val="21"/>
                <w:highlight w:val="yellow"/>
                <w:lang w:val="en-US" w:eastAsia="zh-CN"/>
              </w:rPr>
              <w:t>（不含）</w:t>
            </w:r>
            <w:r>
              <w:rPr>
                <w:rFonts w:hint="default" w:ascii="宋体" w:hAnsi="宋体" w:eastAsia="宋体" w:cs="Times New Roman"/>
                <w:snapToGrid w:val="0"/>
                <w:color w:val="FF0000"/>
                <w:kern w:val="0"/>
                <w:sz w:val="21"/>
                <w:szCs w:val="21"/>
                <w:highlight w:val="yellow"/>
                <w:lang w:val="en-US"/>
              </w:rPr>
              <w:t>。</w:t>
            </w:r>
          </w:p>
        </w:tc>
      </w:tr>
      <w:tr w14:paraId="5C863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jc w:val="center"/>
        </w:trPr>
        <w:tc>
          <w:tcPr>
            <w:tcW w:w="810" w:type="dxa"/>
            <w:vAlign w:val="center"/>
          </w:tcPr>
          <w:p w14:paraId="28EEC2F3">
            <w:pPr>
              <w:jc w:val="center"/>
              <w:rPr>
                <w:rFonts w:ascii="宋体" w:hAnsi="宋体"/>
              </w:rPr>
            </w:pPr>
            <w:r>
              <w:rPr>
                <w:rFonts w:hint="eastAsia" w:ascii="宋体" w:hAnsi="宋体"/>
              </w:rPr>
              <w:t>3</w:t>
            </w:r>
          </w:p>
        </w:tc>
        <w:tc>
          <w:tcPr>
            <w:tcW w:w="826" w:type="dxa"/>
            <w:vAlign w:val="center"/>
          </w:tcPr>
          <w:p w14:paraId="2577D1A3">
            <w:pPr>
              <w:snapToGrid w:val="0"/>
              <w:spacing w:line="360" w:lineRule="auto"/>
              <w:jc w:val="center"/>
              <w:rPr>
                <w:rFonts w:ascii="宋体" w:hAnsi="宋体"/>
              </w:rPr>
            </w:pPr>
            <w:r>
              <w:rPr>
                <w:rFonts w:hint="eastAsia" w:ascii="宋体" w:hAnsi="宋体"/>
              </w:rPr>
              <w:t>评审程序</w:t>
            </w:r>
          </w:p>
        </w:tc>
        <w:tc>
          <w:tcPr>
            <w:tcW w:w="7724" w:type="dxa"/>
            <w:gridSpan w:val="4"/>
          </w:tcPr>
          <w:p w14:paraId="234FB662">
            <w:pPr>
              <w:snapToGrid w:val="0"/>
              <w:spacing w:line="400" w:lineRule="exact"/>
              <w:ind w:firstLine="420" w:firstLineChars="200"/>
              <w:rPr>
                <w:rFonts w:hint="eastAsia" w:ascii="宋体" w:hAnsi="宋体" w:eastAsia="宋体" w:cs="Times New Roman"/>
                <w:snapToGrid w:val="0"/>
                <w:color w:val="auto"/>
                <w:kern w:val="0"/>
                <w:sz w:val="21"/>
                <w:szCs w:val="21"/>
                <w:highlight w:val="none"/>
                <w:lang w:val="en-US" w:eastAsia="zh-CN"/>
              </w:rPr>
            </w:pPr>
            <w:r>
              <w:rPr>
                <w:rFonts w:hint="eastAsia" w:ascii="宋体" w:hAnsi="宋体" w:eastAsia="宋体" w:cs="Times New Roman"/>
                <w:snapToGrid w:val="0"/>
                <w:color w:val="auto"/>
                <w:kern w:val="0"/>
                <w:sz w:val="21"/>
                <w:szCs w:val="21"/>
                <w:highlight w:val="none"/>
                <w:lang w:val="en-US" w:eastAsia="zh-CN"/>
              </w:rPr>
              <w:t>1.评审小组按照本章2.1款进行初步评审,确定初步评审合格的供应商。</w:t>
            </w:r>
          </w:p>
          <w:p w14:paraId="77419294">
            <w:pPr>
              <w:snapToGrid w:val="0"/>
              <w:spacing w:line="400" w:lineRule="exact"/>
              <w:ind w:firstLine="420" w:firstLineChars="200"/>
              <w:rPr>
                <w:rFonts w:hint="eastAsia" w:ascii="宋体" w:hAnsi="宋体" w:eastAsia="宋体" w:cs="Times New Roman"/>
                <w:snapToGrid w:val="0"/>
                <w:color w:val="auto"/>
                <w:kern w:val="0"/>
                <w:sz w:val="21"/>
                <w:szCs w:val="21"/>
                <w:highlight w:val="none"/>
                <w:lang w:val="en-US" w:eastAsia="zh-CN"/>
              </w:rPr>
            </w:pPr>
            <w:r>
              <w:rPr>
                <w:rFonts w:hint="eastAsia" w:ascii="宋体" w:hAnsi="宋体" w:eastAsia="宋体" w:cs="Times New Roman"/>
                <w:snapToGrid w:val="0"/>
                <w:color w:val="auto"/>
                <w:kern w:val="0"/>
                <w:sz w:val="21"/>
                <w:szCs w:val="21"/>
                <w:highlight w:val="none"/>
                <w:lang w:val="en-US" w:eastAsia="zh-CN"/>
              </w:rPr>
              <w:t>2.对初步评审合格的供应商的响应文件，按本章评审办法第2.1款至2.2款规定的程序进行评审，按本附表第2.2项规定的评分标准评审计分，并对各评审因素所得分值进行汇总，排序前三名的供应商进行第二轮报价，第二轮报价方式为现场报价，第二轮报价不得高于第一轮报价且第二轮报价为最终报价。</w:t>
            </w:r>
          </w:p>
          <w:p w14:paraId="181A5C1B">
            <w:pPr>
              <w:snapToGrid w:val="0"/>
              <w:spacing w:line="400" w:lineRule="exact"/>
              <w:ind w:firstLine="420" w:firstLineChars="200"/>
              <w:rPr>
                <w:rFonts w:ascii="宋体" w:hAnsi="宋体" w:cs="宋体"/>
                <w:kern w:val="0"/>
                <w:szCs w:val="21"/>
              </w:rPr>
            </w:pPr>
            <w:r>
              <w:rPr>
                <w:rFonts w:hint="eastAsia" w:ascii="宋体" w:hAnsi="宋体" w:eastAsia="宋体" w:cs="Times New Roman"/>
                <w:snapToGrid w:val="0"/>
                <w:color w:val="auto"/>
                <w:kern w:val="0"/>
                <w:sz w:val="21"/>
                <w:szCs w:val="21"/>
                <w:highlight w:val="none"/>
                <w:lang w:val="en-US" w:eastAsia="zh-CN"/>
              </w:rPr>
              <w:t>3.经评审，有效供应商不足三家，评审小组认定具有竞争性的，可以评出 1-2 家成交候选供应商；若评审小组认定竞选明显缺乏竞争性的，可以否决全部竞选。</w:t>
            </w:r>
          </w:p>
        </w:tc>
      </w:tr>
      <w:tr w14:paraId="61101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0" w:type="dxa"/>
            <w:vAlign w:val="center"/>
          </w:tcPr>
          <w:p w14:paraId="05AD1EDF">
            <w:pPr>
              <w:adjustRightInd w:val="0"/>
              <w:snapToGrid w:val="0"/>
              <w:jc w:val="center"/>
              <w:rPr>
                <w:rFonts w:ascii="宋体" w:hAnsi="宋体"/>
              </w:rPr>
            </w:pPr>
            <w:r>
              <w:rPr>
                <w:rFonts w:hint="eastAsia" w:ascii="宋体" w:hAnsi="宋体"/>
              </w:rPr>
              <w:t>3.2.3</w:t>
            </w:r>
          </w:p>
        </w:tc>
        <w:tc>
          <w:tcPr>
            <w:tcW w:w="826" w:type="dxa"/>
            <w:vAlign w:val="center"/>
          </w:tcPr>
          <w:p w14:paraId="0B0B53E2">
            <w:pPr>
              <w:adjustRightInd w:val="0"/>
              <w:snapToGrid w:val="0"/>
              <w:jc w:val="center"/>
              <w:rPr>
                <w:rFonts w:ascii="宋体" w:hAnsi="宋体"/>
              </w:rPr>
            </w:pPr>
            <w:r>
              <w:rPr>
                <w:rFonts w:hint="eastAsia" w:ascii="宋体" w:hAnsi="宋体"/>
              </w:rPr>
              <w:t>供应商得分</w:t>
            </w:r>
          </w:p>
        </w:tc>
        <w:tc>
          <w:tcPr>
            <w:tcW w:w="7724" w:type="dxa"/>
            <w:gridSpan w:val="4"/>
            <w:vAlign w:val="center"/>
          </w:tcPr>
          <w:p w14:paraId="42902A94">
            <w:pPr>
              <w:adjustRightInd w:val="0"/>
              <w:snapToGrid w:val="0"/>
              <w:ind w:firstLine="420" w:firstLineChars="200"/>
              <w:jc w:val="left"/>
              <w:rPr>
                <w:rFonts w:hint="eastAsia" w:ascii="宋体" w:hAnsi="宋体" w:eastAsia="宋体" w:cs="宋体"/>
                <w:kern w:val="0"/>
                <w:szCs w:val="21"/>
                <w:lang w:eastAsia="zh-CN"/>
              </w:rPr>
            </w:pPr>
            <w:r>
              <w:rPr>
                <w:rFonts w:hint="eastAsia" w:ascii="宋体" w:hAnsi="宋体" w:cs="宋体"/>
                <w:kern w:val="0"/>
                <w:szCs w:val="21"/>
              </w:rPr>
              <w:t>供应商总得分＝A+B+</w:t>
            </w:r>
            <w:r>
              <w:rPr>
                <w:rFonts w:hint="eastAsia" w:ascii="宋体" w:hAnsi="宋体" w:cs="宋体"/>
                <w:kern w:val="0"/>
                <w:szCs w:val="21"/>
                <w:lang w:val="en-US" w:eastAsia="zh-CN"/>
              </w:rPr>
              <w:t>C</w:t>
            </w:r>
          </w:p>
        </w:tc>
      </w:tr>
    </w:tbl>
    <w:p w14:paraId="4E41085F">
      <w:pPr>
        <w:pStyle w:val="4"/>
        <w:spacing w:before="0" w:after="0" w:line="360" w:lineRule="auto"/>
        <w:jc w:val="left"/>
        <w:rPr>
          <w:rFonts w:ascii="宋体" w:hAnsi="宋体" w:eastAsia="宋体" w:cs="宋体"/>
          <w:sz w:val="21"/>
          <w:szCs w:val="21"/>
        </w:rPr>
      </w:pPr>
      <w:bookmarkStart w:id="451" w:name="_Toc15330"/>
      <w:bookmarkStart w:id="452" w:name="_Toc69937215"/>
      <w:bookmarkStart w:id="453" w:name="_Toc80884512"/>
      <w:bookmarkStart w:id="454" w:name="_Toc74125940"/>
      <w:bookmarkStart w:id="455" w:name="_Toc10614"/>
      <w:bookmarkStart w:id="456" w:name="_Toc29865"/>
    </w:p>
    <w:p w14:paraId="1943EB99">
      <w:pPr>
        <w:pStyle w:val="48"/>
      </w:pPr>
      <w:r>
        <w:br w:type="page"/>
      </w:r>
    </w:p>
    <w:p w14:paraId="04791DDE">
      <w:pPr>
        <w:pStyle w:val="4"/>
        <w:spacing w:before="0" w:after="0" w:line="360" w:lineRule="exact"/>
        <w:jc w:val="left"/>
        <w:rPr>
          <w:rFonts w:ascii="宋体" w:hAnsi="宋体" w:eastAsia="宋体" w:cs="宋体"/>
          <w:sz w:val="21"/>
          <w:szCs w:val="21"/>
        </w:rPr>
      </w:pPr>
      <w:r>
        <w:rPr>
          <w:rFonts w:hint="eastAsia" w:ascii="宋体" w:hAnsi="宋体" w:eastAsia="宋体" w:cs="宋体"/>
          <w:sz w:val="21"/>
          <w:szCs w:val="21"/>
        </w:rPr>
        <w:t>1. 评审方法</w:t>
      </w:r>
      <w:bookmarkEnd w:id="451"/>
      <w:bookmarkEnd w:id="452"/>
      <w:bookmarkEnd w:id="453"/>
      <w:bookmarkEnd w:id="454"/>
      <w:bookmarkEnd w:id="455"/>
      <w:bookmarkEnd w:id="456"/>
    </w:p>
    <w:p w14:paraId="573F7456">
      <w:pPr>
        <w:spacing w:line="360" w:lineRule="exact"/>
        <w:ind w:firstLine="420" w:firstLineChars="200"/>
        <w:jc w:val="left"/>
        <w:rPr>
          <w:rFonts w:ascii="宋体" w:hAnsi="宋体" w:eastAsia="宋体" w:cs="宋体"/>
          <w:szCs w:val="21"/>
        </w:rPr>
      </w:pPr>
      <w:r>
        <w:rPr>
          <w:rFonts w:hint="eastAsia" w:ascii="宋体" w:hAnsi="宋体" w:cs="宋体"/>
          <w:kern w:val="0"/>
          <w:szCs w:val="21"/>
        </w:rPr>
        <w:t>本次评审采用综合评估法。评审小组对满足</w:t>
      </w:r>
      <w:r>
        <w:rPr>
          <w:rFonts w:hint="eastAsia" w:ascii="宋体" w:hAnsi="宋体" w:cs="宋体"/>
          <w:kern w:val="0"/>
          <w:szCs w:val="21"/>
          <w:lang w:eastAsia="zh-CN"/>
        </w:rPr>
        <w:t>竞争谈判文件</w:t>
      </w:r>
      <w:r>
        <w:rPr>
          <w:rFonts w:hint="eastAsia" w:ascii="宋体" w:hAnsi="宋体" w:cs="宋体"/>
          <w:kern w:val="0"/>
          <w:szCs w:val="21"/>
        </w:rPr>
        <w:t>实质性要求的</w:t>
      </w:r>
      <w:r>
        <w:rPr>
          <w:rFonts w:hint="eastAsia" w:ascii="宋体" w:hAnsi="宋体" w:cs="宋体"/>
          <w:kern w:val="0"/>
          <w:szCs w:val="21"/>
          <w:lang w:eastAsia="zh-CN"/>
        </w:rPr>
        <w:t>响应文件</w:t>
      </w:r>
      <w:r>
        <w:rPr>
          <w:rFonts w:hint="eastAsia" w:ascii="宋体" w:hAnsi="宋体" w:cs="宋体"/>
          <w:kern w:val="0"/>
          <w:szCs w:val="21"/>
        </w:rPr>
        <w:t>，按照本章第3.2款规定的评分标准进行打分，并按得分由高到低顺序推荐成交候选人，但</w:t>
      </w:r>
      <w:r>
        <w:rPr>
          <w:rFonts w:hint="eastAsia" w:ascii="宋体" w:hAnsi="宋体" w:cs="宋体"/>
          <w:kern w:val="0"/>
          <w:szCs w:val="21"/>
          <w:lang w:eastAsia="zh-CN"/>
        </w:rPr>
        <w:t>谈判</w:t>
      </w:r>
      <w:r>
        <w:rPr>
          <w:rFonts w:hint="eastAsia" w:ascii="宋体" w:hAnsi="宋体" w:cs="宋体"/>
          <w:kern w:val="0"/>
          <w:szCs w:val="21"/>
        </w:rPr>
        <w:t>报价低于其成本的除外。综合评分相等时，以</w:t>
      </w:r>
      <w:r>
        <w:rPr>
          <w:rFonts w:hint="eastAsia" w:ascii="宋体" w:hAnsi="宋体" w:cs="宋体"/>
          <w:kern w:val="0"/>
          <w:szCs w:val="21"/>
          <w:lang w:eastAsia="zh-CN"/>
        </w:rPr>
        <w:t>谈判</w:t>
      </w:r>
      <w:r>
        <w:rPr>
          <w:rFonts w:hint="eastAsia" w:ascii="宋体" w:hAnsi="宋体" w:cs="宋体"/>
          <w:kern w:val="0"/>
          <w:szCs w:val="21"/>
        </w:rPr>
        <w:t>报价低的优先；</w:t>
      </w:r>
      <w:r>
        <w:rPr>
          <w:rFonts w:hint="eastAsia" w:ascii="宋体" w:hAnsi="宋体" w:cs="宋体"/>
          <w:spacing w:val="4"/>
          <w:szCs w:val="21"/>
          <w:lang w:eastAsia="zh-CN"/>
        </w:rPr>
        <w:t>谈判</w:t>
      </w:r>
      <w:r>
        <w:rPr>
          <w:rFonts w:hint="eastAsia" w:ascii="宋体" w:hAnsi="宋体" w:cs="宋体"/>
          <w:spacing w:val="4"/>
          <w:szCs w:val="21"/>
        </w:rPr>
        <w:t>报价也相等的，以技术得分高的优先；如果技术得分也相等，由评审小组投票确定成交候选人排名顺序。</w:t>
      </w:r>
    </w:p>
    <w:p w14:paraId="1763B643">
      <w:pPr>
        <w:pStyle w:val="4"/>
        <w:spacing w:before="0" w:after="0" w:line="360" w:lineRule="exact"/>
        <w:jc w:val="left"/>
        <w:rPr>
          <w:rFonts w:ascii="宋体" w:hAnsi="宋体" w:eastAsia="宋体" w:cs="宋体"/>
          <w:sz w:val="21"/>
          <w:szCs w:val="21"/>
        </w:rPr>
      </w:pPr>
      <w:bookmarkStart w:id="457" w:name="_Toc80884513"/>
      <w:bookmarkStart w:id="458" w:name="_Toc74125941"/>
      <w:bookmarkStart w:id="459" w:name="_Toc10401"/>
      <w:bookmarkStart w:id="460" w:name="_Toc69937216"/>
      <w:bookmarkStart w:id="461" w:name="_Toc26974"/>
      <w:bookmarkStart w:id="462" w:name="_Toc905"/>
      <w:r>
        <w:rPr>
          <w:rFonts w:hint="eastAsia" w:ascii="宋体" w:hAnsi="宋体" w:eastAsia="宋体" w:cs="宋体"/>
          <w:sz w:val="21"/>
          <w:szCs w:val="21"/>
        </w:rPr>
        <w:t>2. 评审标准</w:t>
      </w:r>
      <w:bookmarkEnd w:id="457"/>
      <w:bookmarkEnd w:id="458"/>
      <w:bookmarkEnd w:id="459"/>
      <w:bookmarkEnd w:id="460"/>
      <w:bookmarkEnd w:id="461"/>
      <w:bookmarkEnd w:id="462"/>
    </w:p>
    <w:p w14:paraId="780F3CF0">
      <w:pPr>
        <w:pStyle w:val="5"/>
        <w:spacing w:before="0" w:after="0" w:line="360" w:lineRule="exact"/>
        <w:ind w:firstLine="103"/>
        <w:jc w:val="left"/>
        <w:rPr>
          <w:rFonts w:ascii="宋体" w:hAnsi="宋体" w:eastAsia="宋体" w:cs="宋体"/>
          <w:sz w:val="21"/>
          <w:szCs w:val="21"/>
        </w:rPr>
      </w:pPr>
      <w:bookmarkStart w:id="463" w:name="_Toc21261"/>
      <w:bookmarkStart w:id="464" w:name="_Toc9088"/>
      <w:bookmarkStart w:id="465" w:name="_Toc6473"/>
      <w:bookmarkStart w:id="466" w:name="_Toc74125942"/>
      <w:bookmarkStart w:id="467" w:name="_Toc80884514"/>
      <w:bookmarkStart w:id="468" w:name="_Toc69937217"/>
      <w:r>
        <w:rPr>
          <w:rFonts w:hint="eastAsia" w:ascii="宋体" w:hAnsi="宋体" w:eastAsia="宋体" w:cs="宋体"/>
          <w:sz w:val="21"/>
          <w:szCs w:val="21"/>
        </w:rPr>
        <w:t>2.1 初步评审标准</w:t>
      </w:r>
      <w:bookmarkEnd w:id="463"/>
      <w:bookmarkEnd w:id="464"/>
      <w:bookmarkEnd w:id="465"/>
      <w:bookmarkEnd w:id="466"/>
      <w:bookmarkEnd w:id="467"/>
      <w:bookmarkEnd w:id="468"/>
    </w:p>
    <w:p w14:paraId="359D838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2.1.1 形式评审标准：见评审办法前附表。</w:t>
      </w:r>
    </w:p>
    <w:p w14:paraId="30C0203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2.1.2 资格评审标准：见评审办法前附表。</w:t>
      </w:r>
    </w:p>
    <w:p w14:paraId="1A5553C8">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2.1.3 响应性评审标准：见评审办法前附表。</w:t>
      </w:r>
    </w:p>
    <w:p w14:paraId="1FF8BB5C">
      <w:pPr>
        <w:pStyle w:val="5"/>
        <w:spacing w:before="0" w:after="0" w:line="360" w:lineRule="exact"/>
        <w:ind w:firstLine="103"/>
        <w:jc w:val="left"/>
        <w:rPr>
          <w:rFonts w:ascii="宋体" w:hAnsi="宋体" w:eastAsia="宋体" w:cs="宋体"/>
          <w:sz w:val="21"/>
          <w:szCs w:val="21"/>
        </w:rPr>
      </w:pPr>
      <w:bookmarkStart w:id="469" w:name="_Toc69937218"/>
      <w:bookmarkStart w:id="470" w:name="_Toc74125943"/>
      <w:bookmarkStart w:id="471" w:name="_Toc6727"/>
      <w:bookmarkStart w:id="472" w:name="_Toc15370"/>
      <w:bookmarkStart w:id="473" w:name="_Toc2699"/>
      <w:bookmarkStart w:id="474" w:name="_Toc80884515"/>
      <w:r>
        <w:rPr>
          <w:rFonts w:hint="eastAsia" w:ascii="宋体" w:hAnsi="宋体" w:eastAsia="宋体" w:cs="宋体"/>
          <w:sz w:val="21"/>
          <w:szCs w:val="21"/>
        </w:rPr>
        <w:t>2.2 分值构成与评分标准</w:t>
      </w:r>
      <w:bookmarkEnd w:id="469"/>
      <w:bookmarkEnd w:id="470"/>
      <w:bookmarkEnd w:id="471"/>
      <w:bookmarkEnd w:id="472"/>
      <w:bookmarkEnd w:id="473"/>
      <w:bookmarkEnd w:id="474"/>
    </w:p>
    <w:p w14:paraId="3374FA8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2.2.1 分值构成</w:t>
      </w:r>
    </w:p>
    <w:p w14:paraId="36824CB0">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谈判</w:t>
      </w:r>
      <w:r>
        <w:rPr>
          <w:rFonts w:hint="eastAsia" w:ascii="宋体" w:hAnsi="宋体" w:eastAsia="宋体" w:cs="宋体"/>
          <w:szCs w:val="21"/>
        </w:rPr>
        <w:t>总报价部分：见评审办法前附表；</w:t>
      </w:r>
    </w:p>
    <w:p w14:paraId="4FA1A67B">
      <w:pPr>
        <w:spacing w:line="360" w:lineRule="exact"/>
        <w:ind w:firstLine="420" w:firstLineChars="200"/>
        <w:jc w:val="left"/>
        <w:rPr>
          <w:rFonts w:hint="default" w:eastAsia="宋体"/>
          <w:lang w:val="en-US" w:eastAsia="zh-CN"/>
        </w:rPr>
      </w:pPr>
      <w:r>
        <w:rPr>
          <w:rFonts w:hint="eastAsia" w:ascii="宋体" w:hAnsi="宋体" w:eastAsia="宋体" w:cs="宋体"/>
          <w:color w:val="auto"/>
          <w:kern w:val="2"/>
          <w:sz w:val="21"/>
          <w:szCs w:val="21"/>
          <w:lang w:val="en-US" w:eastAsia="zh-CN" w:bidi="ar-SA"/>
        </w:rPr>
        <w:t>（2）商务部分：</w:t>
      </w:r>
      <w:r>
        <w:rPr>
          <w:rFonts w:hint="eastAsia" w:ascii="宋体" w:hAnsi="宋体" w:eastAsia="宋体" w:cs="宋体"/>
          <w:szCs w:val="21"/>
        </w:rPr>
        <w:t>见评审办法前附表。</w:t>
      </w:r>
    </w:p>
    <w:p w14:paraId="0E57F127">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）技术部分：见评审办法前附表。</w:t>
      </w:r>
    </w:p>
    <w:p w14:paraId="1813DD45">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2.2.2 评审基准价计算</w:t>
      </w:r>
    </w:p>
    <w:p w14:paraId="02CDA50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评审基准价计算方法：见评审办法前附表。</w:t>
      </w:r>
    </w:p>
    <w:p w14:paraId="42F7402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2.2.3 </w:t>
      </w:r>
      <w:r>
        <w:rPr>
          <w:rFonts w:hint="eastAsia" w:ascii="宋体" w:hAnsi="宋体" w:eastAsia="宋体" w:cs="宋体"/>
          <w:szCs w:val="21"/>
          <w:lang w:eastAsia="zh-CN"/>
        </w:rPr>
        <w:t>谈判</w:t>
      </w:r>
      <w:r>
        <w:rPr>
          <w:rFonts w:hint="eastAsia" w:ascii="宋体" w:hAnsi="宋体" w:eastAsia="宋体" w:cs="宋体"/>
          <w:szCs w:val="21"/>
        </w:rPr>
        <w:t>总报价的偏差率计算</w:t>
      </w:r>
    </w:p>
    <w:p w14:paraId="38D8A3D1">
      <w:pPr>
        <w:spacing w:line="360" w:lineRule="exact"/>
        <w:ind w:firstLine="420" w:firstLineChars="200"/>
        <w:jc w:val="left"/>
        <w:rPr>
          <w:rFonts w:ascii="宋体" w:hAnsi="宋体" w:eastAsia="宋体" w:cs="宋体"/>
          <w:szCs w:val="21"/>
        </w:rPr>
      </w:pPr>
      <w:r>
        <w:rPr>
          <w:rFonts w:hint="eastAsia" w:ascii="宋体" w:hAnsi="宋体" w:eastAsia="宋体" w:cs="宋体"/>
          <w:szCs w:val="21"/>
          <w:lang w:eastAsia="zh-CN"/>
        </w:rPr>
        <w:t>谈判</w:t>
      </w:r>
      <w:r>
        <w:rPr>
          <w:rFonts w:hint="eastAsia" w:ascii="宋体" w:hAnsi="宋体" w:eastAsia="宋体" w:cs="宋体"/>
          <w:szCs w:val="21"/>
        </w:rPr>
        <w:t>总报价的偏差率计算公式：见评审办法前附表。</w:t>
      </w:r>
    </w:p>
    <w:p w14:paraId="6ADE733C">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2.2.4 评分标准</w:t>
      </w:r>
    </w:p>
    <w:p w14:paraId="44F84BDB">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谈判</w:t>
      </w:r>
      <w:r>
        <w:rPr>
          <w:rFonts w:hint="eastAsia" w:ascii="宋体" w:hAnsi="宋体" w:eastAsia="宋体" w:cs="宋体"/>
          <w:szCs w:val="21"/>
        </w:rPr>
        <w:t>总报价评分标准：见评审办法前附表；</w:t>
      </w:r>
    </w:p>
    <w:p w14:paraId="2B7F97A5">
      <w:pPr>
        <w:spacing w:line="360" w:lineRule="exact"/>
        <w:ind w:firstLine="420" w:firstLineChars="200"/>
        <w:jc w:val="left"/>
        <w:rPr>
          <w:rFonts w:hint="eastAsia" w:eastAsia="宋体"/>
          <w:lang w:val="en-US" w:eastAsia="zh-CN"/>
        </w:rPr>
      </w:pPr>
      <w:r>
        <w:rPr>
          <w:rFonts w:hint="eastAsia" w:ascii="宋体" w:hAnsi="宋体" w:eastAsia="宋体" w:cs="宋体"/>
          <w:szCs w:val="21"/>
        </w:rPr>
        <w:t>（2）</w:t>
      </w:r>
      <w:r>
        <w:rPr>
          <w:rFonts w:hint="eastAsia" w:ascii="宋体" w:hAnsi="宋体" w:eastAsia="宋体" w:cs="宋体"/>
          <w:szCs w:val="21"/>
          <w:lang w:val="en-US" w:eastAsia="zh-CN"/>
        </w:rPr>
        <w:t>商务部分评分标准：</w:t>
      </w:r>
      <w:r>
        <w:rPr>
          <w:rFonts w:hint="eastAsia" w:ascii="宋体" w:hAnsi="宋体" w:eastAsia="宋体" w:cs="宋体"/>
          <w:szCs w:val="21"/>
        </w:rPr>
        <w:t>见评审办法前附表</w:t>
      </w:r>
      <w:r>
        <w:rPr>
          <w:rFonts w:hint="eastAsia" w:ascii="宋体" w:hAnsi="宋体" w:eastAsia="宋体" w:cs="宋体"/>
          <w:szCs w:val="21"/>
          <w:lang w:eastAsia="zh-CN"/>
        </w:rPr>
        <w:t>；</w:t>
      </w:r>
    </w:p>
    <w:p w14:paraId="72C86F67">
      <w:pPr>
        <w:spacing w:line="360" w:lineRule="exact"/>
        <w:ind w:firstLine="420" w:firstLineChars="200"/>
        <w:jc w:val="left"/>
        <w:rPr>
          <w:rFonts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rPr>
        <w:t>技术部分评分标准：见评审办法前附表。</w:t>
      </w:r>
    </w:p>
    <w:p w14:paraId="05BE4430">
      <w:pPr>
        <w:pStyle w:val="4"/>
        <w:spacing w:before="0" w:after="0" w:line="360" w:lineRule="exact"/>
        <w:jc w:val="left"/>
        <w:rPr>
          <w:rFonts w:ascii="宋体" w:hAnsi="宋体" w:eastAsia="宋体" w:cs="宋体"/>
          <w:sz w:val="21"/>
          <w:szCs w:val="21"/>
        </w:rPr>
      </w:pPr>
      <w:bookmarkStart w:id="475" w:name="_Toc74125944"/>
      <w:bookmarkStart w:id="476" w:name="_Toc69937219"/>
      <w:bookmarkStart w:id="477" w:name="_Toc80884516"/>
      <w:bookmarkStart w:id="478" w:name="_Toc1563"/>
      <w:bookmarkStart w:id="479" w:name="_Toc11916"/>
      <w:bookmarkStart w:id="480" w:name="_Toc26021"/>
      <w:r>
        <w:rPr>
          <w:rFonts w:hint="eastAsia" w:ascii="宋体" w:hAnsi="宋体" w:eastAsia="宋体" w:cs="宋体"/>
          <w:sz w:val="21"/>
          <w:szCs w:val="21"/>
        </w:rPr>
        <w:t>3. 评审程序</w:t>
      </w:r>
      <w:bookmarkEnd w:id="475"/>
      <w:bookmarkEnd w:id="476"/>
      <w:bookmarkEnd w:id="477"/>
      <w:bookmarkEnd w:id="478"/>
      <w:bookmarkEnd w:id="479"/>
      <w:bookmarkEnd w:id="480"/>
    </w:p>
    <w:p w14:paraId="0AC9729F">
      <w:pPr>
        <w:pStyle w:val="5"/>
        <w:spacing w:before="0" w:after="0" w:line="360" w:lineRule="exact"/>
        <w:ind w:firstLine="522" w:firstLineChars="249"/>
        <w:jc w:val="left"/>
        <w:rPr>
          <w:rFonts w:ascii="宋体" w:hAnsi="宋体" w:eastAsia="宋体" w:cs="宋体"/>
          <w:sz w:val="21"/>
          <w:szCs w:val="21"/>
        </w:rPr>
      </w:pPr>
      <w:bookmarkStart w:id="481" w:name="_Toc12242"/>
      <w:bookmarkStart w:id="482" w:name="_Toc13448"/>
      <w:bookmarkStart w:id="483" w:name="_Toc80884517"/>
      <w:bookmarkStart w:id="484" w:name="_Toc74125945"/>
      <w:bookmarkStart w:id="485" w:name="_Toc69937220"/>
      <w:bookmarkStart w:id="486" w:name="_Toc32552"/>
      <w:r>
        <w:rPr>
          <w:rFonts w:hint="eastAsia" w:ascii="宋体" w:hAnsi="宋体" w:eastAsia="宋体" w:cs="宋体"/>
          <w:sz w:val="21"/>
          <w:szCs w:val="21"/>
        </w:rPr>
        <w:t>3.1 初步评审</w:t>
      </w:r>
      <w:bookmarkEnd w:id="481"/>
      <w:bookmarkEnd w:id="482"/>
      <w:bookmarkEnd w:id="483"/>
      <w:bookmarkEnd w:id="484"/>
      <w:bookmarkEnd w:id="485"/>
      <w:bookmarkEnd w:id="486"/>
    </w:p>
    <w:p w14:paraId="30CF79A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3.1.1 评审小组可以要求供应商提交第二章“供应商须知”规定的有关证明和证件的原件，以便核验。评审小组依据本章第2.1款规定的标准对</w:t>
      </w:r>
      <w:r>
        <w:rPr>
          <w:rFonts w:hint="eastAsia" w:ascii="宋体" w:hAnsi="宋体" w:eastAsia="宋体" w:cs="宋体"/>
          <w:szCs w:val="21"/>
          <w:lang w:eastAsia="zh-CN"/>
        </w:rPr>
        <w:t>响应文件</w:t>
      </w:r>
      <w:r>
        <w:rPr>
          <w:rFonts w:hint="eastAsia" w:ascii="宋体" w:hAnsi="宋体" w:eastAsia="宋体" w:cs="宋体"/>
          <w:szCs w:val="21"/>
        </w:rPr>
        <w:t>进行初步评审。有一项不符合评审标准的，评审小组应当否决其</w:t>
      </w:r>
      <w:r>
        <w:rPr>
          <w:rFonts w:hint="eastAsia" w:ascii="宋体" w:hAnsi="宋体" w:eastAsia="宋体" w:cs="宋体"/>
          <w:szCs w:val="21"/>
          <w:lang w:eastAsia="zh-CN"/>
        </w:rPr>
        <w:t>响应文件</w:t>
      </w:r>
      <w:r>
        <w:rPr>
          <w:rFonts w:hint="eastAsia" w:ascii="宋体" w:hAnsi="宋体" w:eastAsia="宋体" w:cs="宋体"/>
          <w:szCs w:val="21"/>
        </w:rPr>
        <w:t>。</w:t>
      </w:r>
    </w:p>
    <w:p w14:paraId="5D71FBD1">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3.1.2 供应商有以下情形之一的，评审小组应当否决其</w:t>
      </w:r>
      <w:r>
        <w:rPr>
          <w:rFonts w:hint="eastAsia" w:ascii="宋体" w:hAnsi="宋体" w:eastAsia="宋体" w:cs="宋体"/>
          <w:szCs w:val="21"/>
          <w:lang w:eastAsia="zh-CN"/>
        </w:rPr>
        <w:t>响应文件</w:t>
      </w:r>
      <w:r>
        <w:rPr>
          <w:rFonts w:hint="eastAsia" w:ascii="宋体" w:hAnsi="宋体" w:eastAsia="宋体" w:cs="宋体"/>
          <w:szCs w:val="21"/>
        </w:rPr>
        <w:t>：</w:t>
      </w:r>
    </w:p>
    <w:p w14:paraId="062DA9ED">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响应文件</w:t>
      </w:r>
      <w:r>
        <w:rPr>
          <w:rFonts w:hint="eastAsia" w:ascii="宋体" w:hAnsi="宋体" w:eastAsia="宋体" w:cs="宋体"/>
          <w:szCs w:val="21"/>
        </w:rPr>
        <w:t>没有对</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的实质性要求和条件作出响应，或者对</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的偏差超出</w:t>
      </w:r>
      <w:r>
        <w:rPr>
          <w:rFonts w:hint="eastAsia" w:ascii="宋体" w:hAnsi="宋体" w:cs="宋体"/>
          <w:szCs w:val="21"/>
          <w:lang w:eastAsia="zh-CN"/>
        </w:rPr>
        <w:t>竞争谈判</w:t>
      </w:r>
      <w:r>
        <w:rPr>
          <w:rFonts w:hint="eastAsia" w:ascii="宋体" w:hAnsi="宋体" w:eastAsia="宋体" w:cs="宋体"/>
          <w:szCs w:val="21"/>
          <w:lang w:eastAsia="zh-CN"/>
        </w:rPr>
        <w:t>文件</w:t>
      </w:r>
      <w:r>
        <w:rPr>
          <w:rFonts w:hint="eastAsia" w:ascii="宋体" w:hAnsi="宋体" w:eastAsia="宋体" w:cs="宋体"/>
          <w:szCs w:val="21"/>
        </w:rPr>
        <w:t>规定的偏差范围或最高项数；</w:t>
      </w:r>
    </w:p>
    <w:p w14:paraId="79C0C75A">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（2）有串通投标、弄虚作假、行贿等违法行为。</w:t>
      </w:r>
    </w:p>
    <w:p w14:paraId="5B26D04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 xml:space="preserve">3.1.3 </w:t>
      </w:r>
      <w:r>
        <w:rPr>
          <w:rFonts w:hint="eastAsia" w:ascii="宋体" w:hAnsi="宋体" w:eastAsia="宋体" w:cs="宋体"/>
          <w:szCs w:val="21"/>
          <w:lang w:eastAsia="zh-CN"/>
        </w:rPr>
        <w:t>谈判</w:t>
      </w:r>
      <w:r>
        <w:rPr>
          <w:rFonts w:hint="eastAsia" w:ascii="宋体" w:hAnsi="宋体" w:eastAsia="宋体" w:cs="宋体"/>
          <w:szCs w:val="21"/>
        </w:rPr>
        <w:t>总报价有算术错误及其他错误的，评审小组按以下原则要求供应商对</w:t>
      </w:r>
      <w:r>
        <w:rPr>
          <w:rFonts w:hint="eastAsia" w:ascii="宋体" w:hAnsi="宋体" w:eastAsia="宋体" w:cs="宋体"/>
          <w:szCs w:val="21"/>
          <w:lang w:eastAsia="zh-CN"/>
        </w:rPr>
        <w:t>谈判</w:t>
      </w:r>
      <w:r>
        <w:rPr>
          <w:rFonts w:hint="eastAsia" w:ascii="宋体" w:hAnsi="宋体" w:eastAsia="宋体" w:cs="宋体"/>
          <w:szCs w:val="21"/>
        </w:rPr>
        <w:t>总报价进</w:t>
      </w:r>
      <w:bookmarkStart w:id="487" w:name="_Toc300835013"/>
      <w:bookmarkStart w:id="488" w:name="_Toc384308277"/>
      <w:bookmarkStart w:id="489" w:name="_Toc361508651"/>
      <w:bookmarkStart w:id="490" w:name="_Toc369531582"/>
      <w:bookmarkStart w:id="491" w:name="_Toc352691538"/>
      <w:bookmarkStart w:id="492" w:name="_Toc144974570"/>
      <w:bookmarkStart w:id="493" w:name="_Toc152042380"/>
      <w:bookmarkStart w:id="494" w:name="_Toc2907"/>
      <w:bookmarkStart w:id="495" w:name="_Toc247514027"/>
      <w:bookmarkStart w:id="496" w:name="_Toc247527628"/>
      <w:bookmarkStart w:id="497" w:name="_Toc152045603"/>
      <w:r>
        <w:rPr>
          <w:rFonts w:hint="eastAsia" w:ascii="宋体" w:hAnsi="宋体" w:eastAsia="宋体" w:cs="宋体"/>
          <w:szCs w:val="21"/>
        </w:rPr>
        <w:t>行修正，并要求供应商书面澄清确认。</w:t>
      </w:r>
      <w:bookmarkEnd w:id="487"/>
      <w:bookmarkEnd w:id="488"/>
      <w:bookmarkEnd w:id="489"/>
      <w:bookmarkEnd w:id="490"/>
      <w:bookmarkEnd w:id="491"/>
      <w:bookmarkEnd w:id="492"/>
      <w:bookmarkEnd w:id="493"/>
      <w:bookmarkEnd w:id="494"/>
      <w:bookmarkEnd w:id="495"/>
      <w:bookmarkEnd w:id="496"/>
      <w:bookmarkEnd w:id="497"/>
      <w:r>
        <w:rPr>
          <w:rFonts w:hint="eastAsia" w:ascii="宋体" w:hAnsi="宋体" w:eastAsia="宋体" w:cs="宋体"/>
          <w:szCs w:val="21"/>
        </w:rPr>
        <w:t>供应商拒不澄清确认的，评审小组应当否决其</w:t>
      </w:r>
      <w:r>
        <w:rPr>
          <w:rFonts w:hint="eastAsia" w:ascii="宋体" w:hAnsi="宋体" w:eastAsia="宋体" w:cs="宋体"/>
          <w:szCs w:val="21"/>
          <w:lang w:eastAsia="zh-CN"/>
        </w:rPr>
        <w:t>响应文件</w:t>
      </w:r>
      <w:r>
        <w:rPr>
          <w:rFonts w:hint="eastAsia" w:ascii="宋体" w:hAnsi="宋体" w:eastAsia="宋体" w:cs="宋体"/>
          <w:szCs w:val="21"/>
        </w:rPr>
        <w:t>：</w:t>
      </w:r>
    </w:p>
    <w:p w14:paraId="5421C839">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响应文件</w:t>
      </w:r>
      <w:r>
        <w:rPr>
          <w:rFonts w:hint="eastAsia" w:ascii="宋体" w:hAnsi="宋体" w:eastAsia="宋体" w:cs="宋体"/>
          <w:szCs w:val="21"/>
        </w:rPr>
        <w:t>中的大写金额与小写金额不一致的，以大写金额为准；</w:t>
      </w:r>
    </w:p>
    <w:p w14:paraId="4DCBA6EE">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（2）总价金额与单价金额不一致的，以单价金额为准，但单价金额小数点有明显错误的除外。</w:t>
      </w:r>
    </w:p>
    <w:p w14:paraId="44C938B2">
      <w:pPr>
        <w:pStyle w:val="5"/>
        <w:spacing w:before="0" w:after="0" w:line="360" w:lineRule="exact"/>
        <w:ind w:firstLine="522" w:firstLineChars="249"/>
        <w:jc w:val="left"/>
        <w:rPr>
          <w:rFonts w:ascii="宋体" w:hAnsi="宋体" w:eastAsia="宋体" w:cs="宋体"/>
          <w:sz w:val="21"/>
          <w:szCs w:val="21"/>
        </w:rPr>
      </w:pPr>
      <w:bookmarkStart w:id="498" w:name="_Toc14455"/>
      <w:bookmarkStart w:id="499" w:name="_Toc69937221"/>
      <w:bookmarkStart w:id="500" w:name="_Toc14861"/>
      <w:bookmarkStart w:id="501" w:name="_Toc922"/>
      <w:bookmarkStart w:id="502" w:name="_Toc80884518"/>
      <w:bookmarkStart w:id="503" w:name="_Toc74125946"/>
      <w:r>
        <w:rPr>
          <w:rFonts w:hint="eastAsia" w:ascii="宋体" w:hAnsi="宋体" w:eastAsia="宋体" w:cs="宋体"/>
          <w:sz w:val="21"/>
          <w:szCs w:val="21"/>
        </w:rPr>
        <w:t>3.2 详细评审</w:t>
      </w:r>
      <w:bookmarkEnd w:id="498"/>
      <w:bookmarkEnd w:id="499"/>
      <w:bookmarkEnd w:id="500"/>
      <w:bookmarkEnd w:id="501"/>
      <w:bookmarkEnd w:id="502"/>
      <w:bookmarkEnd w:id="503"/>
    </w:p>
    <w:p w14:paraId="3E0739F0">
      <w:pPr>
        <w:spacing w:line="360" w:lineRule="exact"/>
        <w:ind w:firstLine="420" w:firstLineChars="200"/>
        <w:jc w:val="left"/>
        <w:rPr>
          <w:rFonts w:ascii="宋体" w:hAnsi="宋体"/>
          <w:kern w:val="0"/>
          <w:szCs w:val="21"/>
        </w:rPr>
      </w:pPr>
      <w:r>
        <w:rPr>
          <w:rFonts w:hint="eastAsia" w:ascii="宋体" w:hAnsi="宋体"/>
          <w:kern w:val="0"/>
          <w:szCs w:val="21"/>
        </w:rPr>
        <w:t>3.2.1 按本章第2.2款规定的量化因素和标准进行评分；</w:t>
      </w:r>
    </w:p>
    <w:p w14:paraId="7C4A7828">
      <w:pPr>
        <w:spacing w:line="360" w:lineRule="exact"/>
        <w:ind w:firstLine="420" w:firstLineChars="200"/>
        <w:jc w:val="left"/>
        <w:rPr>
          <w:rFonts w:ascii="宋体" w:hAnsi="宋体"/>
          <w:kern w:val="0"/>
          <w:szCs w:val="21"/>
        </w:rPr>
      </w:pPr>
      <w:r>
        <w:rPr>
          <w:rFonts w:hint="eastAsia" w:ascii="宋体" w:hAnsi="宋体"/>
          <w:kern w:val="0"/>
          <w:szCs w:val="21"/>
        </w:rPr>
        <w:t>3.2.2</w:t>
      </w:r>
      <w:r>
        <w:rPr>
          <w:rFonts w:hint="eastAsia" w:ascii="宋体" w:hAnsi="宋体" w:cs="宋体"/>
          <w:kern w:val="0"/>
          <w:szCs w:val="21"/>
        </w:rPr>
        <w:t>评审小组发现供应商的报价明显低于其他</w:t>
      </w:r>
      <w:r>
        <w:rPr>
          <w:rFonts w:hint="eastAsia" w:ascii="宋体" w:hAnsi="宋体" w:cs="宋体"/>
          <w:kern w:val="0"/>
          <w:szCs w:val="21"/>
          <w:lang w:eastAsia="zh-CN"/>
        </w:rPr>
        <w:t>谈判</w:t>
      </w:r>
      <w:r>
        <w:rPr>
          <w:rFonts w:hint="eastAsia" w:ascii="宋体" w:hAnsi="宋体" w:cs="宋体"/>
          <w:kern w:val="0"/>
          <w:szCs w:val="21"/>
        </w:rPr>
        <w:t>报价，或者在设有标底时明显低于标底，使得其</w:t>
      </w:r>
      <w:r>
        <w:rPr>
          <w:rFonts w:hint="eastAsia" w:ascii="宋体" w:hAnsi="宋体" w:cs="宋体"/>
          <w:kern w:val="0"/>
          <w:szCs w:val="21"/>
          <w:lang w:eastAsia="zh-CN"/>
        </w:rPr>
        <w:t>谈判</w:t>
      </w:r>
      <w:r>
        <w:rPr>
          <w:rFonts w:hint="eastAsia" w:ascii="宋体" w:hAnsi="宋体" w:cs="宋体"/>
          <w:kern w:val="0"/>
          <w:szCs w:val="21"/>
        </w:rPr>
        <w:t>报价可能低于其个别成本的，应当要求该供应商做出书面说明并提供相应的证明材料。供应商不能合理说明或者不能提供相应证明材料的，由评审小组认定该供应商以低于成本报价竞标，其</w:t>
      </w:r>
      <w:r>
        <w:rPr>
          <w:rFonts w:hint="eastAsia" w:ascii="宋体" w:hAnsi="宋体" w:cs="宋体"/>
          <w:kern w:val="0"/>
          <w:szCs w:val="21"/>
          <w:lang w:eastAsia="zh-CN"/>
        </w:rPr>
        <w:t>响应文件</w:t>
      </w:r>
      <w:r>
        <w:rPr>
          <w:rFonts w:hint="eastAsia" w:ascii="宋体" w:hAnsi="宋体" w:cs="宋体"/>
          <w:kern w:val="0"/>
          <w:szCs w:val="21"/>
        </w:rPr>
        <w:t>作否决处理。</w:t>
      </w:r>
    </w:p>
    <w:p w14:paraId="488EBB41">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3.2.3 供应商得分=A+B+</w:t>
      </w:r>
      <w:r>
        <w:rPr>
          <w:rFonts w:hint="eastAsia" w:ascii="宋体" w:hAnsi="宋体" w:eastAsia="宋体" w:cs="宋体"/>
          <w:szCs w:val="21"/>
          <w:lang w:val="en-US" w:eastAsia="zh-CN"/>
        </w:rPr>
        <w:t>C</w:t>
      </w:r>
      <w:r>
        <w:rPr>
          <w:rFonts w:hint="eastAsia" w:ascii="宋体" w:hAnsi="宋体" w:eastAsia="宋体" w:cs="宋体"/>
          <w:szCs w:val="21"/>
        </w:rPr>
        <w:t>。</w:t>
      </w:r>
    </w:p>
    <w:p w14:paraId="5832C822">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3.2.4 评审小组发现供应商的报价明显低于其他</w:t>
      </w:r>
      <w:r>
        <w:rPr>
          <w:rFonts w:hint="eastAsia" w:ascii="宋体" w:hAnsi="宋体" w:eastAsia="宋体" w:cs="宋体"/>
          <w:szCs w:val="21"/>
          <w:lang w:eastAsia="zh-CN"/>
        </w:rPr>
        <w:t>谈判</w:t>
      </w:r>
      <w:r>
        <w:rPr>
          <w:rFonts w:hint="eastAsia" w:ascii="宋体" w:hAnsi="宋体" w:eastAsia="宋体" w:cs="宋体"/>
          <w:szCs w:val="21"/>
        </w:rPr>
        <w:t>总报价，使得其</w:t>
      </w:r>
      <w:r>
        <w:rPr>
          <w:rFonts w:hint="eastAsia" w:ascii="宋体" w:hAnsi="宋体" w:eastAsia="宋体" w:cs="宋体"/>
          <w:szCs w:val="21"/>
          <w:lang w:eastAsia="zh-CN"/>
        </w:rPr>
        <w:t>谈判</w:t>
      </w:r>
      <w:r>
        <w:rPr>
          <w:rFonts w:hint="eastAsia" w:ascii="宋体" w:hAnsi="宋体" w:eastAsia="宋体" w:cs="宋体"/>
          <w:szCs w:val="21"/>
        </w:rPr>
        <w:t>总报价可能低于其个别成本的，应当要求该供应商作出书面说明并提供相应的证明材料。供应商不能合理说明或者不能提供相应证明材料的，评审小组应当认定该供应商以低于成本报价竞标，并评审小组应当否决其</w:t>
      </w:r>
      <w:r>
        <w:rPr>
          <w:rFonts w:hint="eastAsia" w:ascii="宋体" w:hAnsi="宋体" w:eastAsia="宋体" w:cs="宋体"/>
          <w:szCs w:val="21"/>
          <w:lang w:eastAsia="zh-CN"/>
        </w:rPr>
        <w:t>响应文件</w:t>
      </w:r>
      <w:r>
        <w:rPr>
          <w:rFonts w:hint="eastAsia" w:ascii="宋体" w:hAnsi="宋体" w:eastAsia="宋体" w:cs="宋体"/>
          <w:szCs w:val="21"/>
        </w:rPr>
        <w:t>。</w:t>
      </w:r>
    </w:p>
    <w:p w14:paraId="00CEFE99">
      <w:pPr>
        <w:pStyle w:val="5"/>
        <w:spacing w:before="0" w:after="0" w:line="360" w:lineRule="exact"/>
        <w:ind w:left="0" w:leftChars="0" w:firstLine="420" w:firstLineChars="200"/>
        <w:jc w:val="left"/>
        <w:rPr>
          <w:rFonts w:ascii="宋体" w:hAnsi="宋体" w:eastAsia="宋体" w:cs="宋体"/>
          <w:sz w:val="21"/>
          <w:szCs w:val="21"/>
        </w:rPr>
      </w:pPr>
      <w:bookmarkStart w:id="504" w:name="_Toc30695"/>
      <w:bookmarkStart w:id="505" w:name="_Toc69937222"/>
      <w:bookmarkStart w:id="506" w:name="_Toc26450"/>
      <w:bookmarkStart w:id="507" w:name="_Toc26595"/>
      <w:bookmarkStart w:id="508" w:name="_Toc80884519"/>
      <w:bookmarkStart w:id="509" w:name="_Toc74125947"/>
      <w:r>
        <w:rPr>
          <w:rFonts w:hint="eastAsia" w:ascii="宋体" w:hAnsi="宋体" w:eastAsia="宋体" w:cs="宋体"/>
          <w:sz w:val="21"/>
          <w:szCs w:val="21"/>
        </w:rPr>
        <w:t xml:space="preserve">3.3 </w:t>
      </w:r>
      <w:r>
        <w:rPr>
          <w:rFonts w:hint="eastAsia" w:ascii="宋体" w:hAnsi="宋体" w:eastAsia="宋体" w:cs="宋体"/>
          <w:sz w:val="21"/>
          <w:szCs w:val="21"/>
          <w:lang w:eastAsia="zh-CN"/>
        </w:rPr>
        <w:t>响应文件</w:t>
      </w:r>
      <w:r>
        <w:rPr>
          <w:rFonts w:hint="eastAsia" w:ascii="宋体" w:hAnsi="宋体" w:eastAsia="宋体" w:cs="宋体"/>
          <w:sz w:val="21"/>
          <w:szCs w:val="21"/>
        </w:rPr>
        <w:t>的澄清</w:t>
      </w:r>
      <w:bookmarkEnd w:id="504"/>
      <w:bookmarkEnd w:id="505"/>
      <w:bookmarkEnd w:id="506"/>
      <w:bookmarkEnd w:id="507"/>
      <w:bookmarkEnd w:id="508"/>
      <w:bookmarkEnd w:id="509"/>
    </w:p>
    <w:p w14:paraId="740F658B">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3.3.1 在评审过程中，评审小组可以书面形式要求供应商对</w:t>
      </w:r>
      <w:r>
        <w:rPr>
          <w:rFonts w:hint="eastAsia" w:ascii="宋体" w:hAnsi="宋体" w:eastAsia="宋体" w:cs="宋体"/>
          <w:szCs w:val="21"/>
          <w:lang w:eastAsia="zh-CN"/>
        </w:rPr>
        <w:t>响应文件</w:t>
      </w:r>
      <w:r>
        <w:rPr>
          <w:rFonts w:hint="eastAsia" w:ascii="宋体" w:hAnsi="宋体" w:eastAsia="宋体" w:cs="宋体"/>
          <w:szCs w:val="21"/>
        </w:rPr>
        <w:t>中含义不明确、对同类问题表述不一致或者有明显文字和计算错误的内容作必要的澄清、说明或补正。澄清、说明或补正应以书面方式进行。评审小组不接受供应商主动提出的澄清、说明或补正。</w:t>
      </w:r>
    </w:p>
    <w:p w14:paraId="6FB57A38">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3.3.2 澄清、说明或补正不得超出</w:t>
      </w:r>
      <w:r>
        <w:rPr>
          <w:rFonts w:hint="eastAsia" w:ascii="宋体" w:hAnsi="宋体" w:eastAsia="宋体" w:cs="宋体"/>
          <w:szCs w:val="21"/>
          <w:lang w:eastAsia="zh-CN"/>
        </w:rPr>
        <w:t>响应文件</w:t>
      </w:r>
      <w:r>
        <w:rPr>
          <w:rFonts w:hint="eastAsia" w:ascii="宋体" w:hAnsi="宋体" w:eastAsia="宋体" w:cs="宋体"/>
          <w:szCs w:val="21"/>
        </w:rPr>
        <w:t>的范围且不得改变</w:t>
      </w:r>
      <w:r>
        <w:rPr>
          <w:rFonts w:hint="eastAsia" w:ascii="宋体" w:hAnsi="宋体" w:eastAsia="宋体" w:cs="宋体"/>
          <w:szCs w:val="21"/>
          <w:lang w:eastAsia="zh-CN"/>
        </w:rPr>
        <w:t>响应文件</w:t>
      </w:r>
      <w:r>
        <w:rPr>
          <w:rFonts w:hint="eastAsia" w:ascii="宋体" w:hAnsi="宋体" w:eastAsia="宋体" w:cs="宋体"/>
          <w:szCs w:val="21"/>
        </w:rPr>
        <w:t>的实质性内容，并构成</w:t>
      </w:r>
      <w:r>
        <w:rPr>
          <w:rFonts w:hint="eastAsia" w:ascii="宋体" w:hAnsi="宋体" w:eastAsia="宋体" w:cs="宋体"/>
          <w:szCs w:val="21"/>
          <w:lang w:eastAsia="zh-CN"/>
        </w:rPr>
        <w:t>响应文件</w:t>
      </w:r>
      <w:r>
        <w:rPr>
          <w:rFonts w:hint="eastAsia" w:ascii="宋体" w:hAnsi="宋体" w:eastAsia="宋体" w:cs="宋体"/>
          <w:szCs w:val="21"/>
        </w:rPr>
        <w:t>的组成部分。</w:t>
      </w:r>
    </w:p>
    <w:p w14:paraId="576F1E23">
      <w:pPr>
        <w:spacing w:line="360" w:lineRule="exact"/>
        <w:ind w:firstLine="420" w:firstLineChars="200"/>
        <w:jc w:val="left"/>
        <w:rPr>
          <w:rFonts w:ascii="宋体" w:hAnsi="宋体" w:eastAsia="宋体" w:cs="宋体"/>
          <w:szCs w:val="21"/>
        </w:rPr>
      </w:pPr>
      <w:r>
        <w:rPr>
          <w:rFonts w:hint="eastAsia" w:ascii="宋体" w:hAnsi="宋体" w:eastAsia="宋体" w:cs="宋体"/>
          <w:szCs w:val="21"/>
        </w:rPr>
        <w:t>3.3.3 评审小组对供应商提交的澄清、说明或补正有疑问的，可以要求供应商进一步澄清、说明或补正，直至满足评审小组的要求。</w:t>
      </w:r>
    </w:p>
    <w:p w14:paraId="49C8B94B">
      <w:pPr>
        <w:pStyle w:val="5"/>
        <w:spacing w:before="0" w:after="0" w:line="360" w:lineRule="exact"/>
        <w:ind w:left="0" w:leftChars="0" w:firstLine="420" w:firstLineChars="200"/>
        <w:jc w:val="left"/>
        <w:rPr>
          <w:rFonts w:ascii="宋体" w:hAnsi="宋体" w:eastAsia="宋体" w:cs="宋体"/>
          <w:sz w:val="21"/>
          <w:szCs w:val="21"/>
        </w:rPr>
      </w:pPr>
      <w:bookmarkStart w:id="510" w:name="_Toc69937223"/>
      <w:bookmarkStart w:id="511" w:name="_Toc25797"/>
      <w:bookmarkStart w:id="512" w:name="_Toc80884520"/>
      <w:bookmarkStart w:id="513" w:name="_Toc74125948"/>
      <w:bookmarkStart w:id="514" w:name="_Toc22344"/>
      <w:bookmarkStart w:id="515" w:name="_Toc17789"/>
      <w:r>
        <w:rPr>
          <w:rFonts w:hint="eastAsia" w:ascii="宋体" w:hAnsi="宋体" w:eastAsia="宋体" w:cs="宋体"/>
          <w:sz w:val="21"/>
          <w:szCs w:val="21"/>
        </w:rPr>
        <w:t>3.4 评审结果</w:t>
      </w:r>
      <w:bookmarkEnd w:id="510"/>
      <w:bookmarkEnd w:id="511"/>
      <w:bookmarkEnd w:id="512"/>
      <w:bookmarkEnd w:id="513"/>
      <w:bookmarkEnd w:id="514"/>
      <w:bookmarkEnd w:id="515"/>
    </w:p>
    <w:p w14:paraId="16AD9830">
      <w:pPr>
        <w:spacing w:line="360" w:lineRule="exact"/>
        <w:ind w:firstLine="420" w:firstLineChars="200"/>
      </w:pPr>
      <w:r>
        <w:rPr>
          <w:rFonts w:hint="eastAsia" w:ascii="宋体" w:hAnsi="宋体" w:eastAsia="宋体" w:cs="宋体"/>
          <w:szCs w:val="21"/>
        </w:rPr>
        <w:t>3.4.1 除第二章“供应商须知”前附表授权直接确定成交供应商外，</w:t>
      </w:r>
      <w:r>
        <w:rPr>
          <w:rFonts w:hint="eastAsia" w:ascii="宋体" w:hAnsi="宋体" w:cs="宋体"/>
          <w:szCs w:val="21"/>
          <w:lang w:eastAsia="zh-CN"/>
        </w:rPr>
        <w:t>竞争谈判</w:t>
      </w:r>
      <w:r>
        <w:rPr>
          <w:rFonts w:hint="eastAsia" w:ascii="宋体" w:hAnsi="宋体" w:eastAsia="宋体" w:cs="宋体"/>
          <w:szCs w:val="21"/>
        </w:rPr>
        <w:t>经评标后评分由高到低排序前三名的厂家进行第二轮报价，按总得分（第二轮报价得分+技术分+商务分）由高到低排序推荐中标候选人，由招标采购领导小组决标确定中标人。</w:t>
      </w:r>
      <w:r>
        <w:br w:type="page"/>
      </w:r>
    </w:p>
    <w:p w14:paraId="250DC4D6">
      <w:pPr>
        <w:spacing w:line="520" w:lineRule="exact"/>
        <w:jc w:val="center"/>
        <w:rPr>
          <w:rFonts w:ascii="黑体" w:eastAsia="黑体"/>
          <w:sz w:val="28"/>
          <w:szCs w:val="28"/>
        </w:rPr>
      </w:pPr>
      <w:r>
        <w:rPr>
          <w:rFonts w:hint="eastAsia" w:ascii="黑体" w:eastAsia="黑体"/>
          <w:sz w:val="28"/>
          <w:szCs w:val="28"/>
        </w:rPr>
        <w:t>附件A：否决</w:t>
      </w:r>
      <w:r>
        <w:rPr>
          <w:rFonts w:hint="eastAsia" w:ascii="黑体" w:eastAsia="黑体"/>
          <w:sz w:val="28"/>
          <w:szCs w:val="28"/>
          <w:lang w:eastAsia="zh-CN"/>
        </w:rPr>
        <w:t>响应文件</w:t>
      </w:r>
      <w:r>
        <w:rPr>
          <w:rFonts w:hint="eastAsia" w:ascii="黑体" w:eastAsia="黑体"/>
          <w:sz w:val="28"/>
          <w:szCs w:val="28"/>
        </w:rPr>
        <w:t>情况一览表</w:t>
      </w:r>
    </w:p>
    <w:p w14:paraId="3F958871">
      <w:pPr>
        <w:pStyle w:val="30"/>
        <w:spacing w:line="360" w:lineRule="exact"/>
        <w:jc w:val="both"/>
        <w:rPr>
          <w:rFonts w:ascii="仿宋_GB2312" w:eastAsia="仿宋_GB2312"/>
          <w:b/>
          <w:sz w:val="21"/>
          <w:szCs w:val="21"/>
          <w:u w:val="none"/>
          <w:lang w:eastAsia="zh-CN"/>
        </w:rPr>
      </w:pPr>
      <w:r>
        <w:rPr>
          <w:rFonts w:hint="eastAsia" w:ascii="仿宋_GB2312" w:eastAsia="仿宋_GB2312"/>
          <w:b/>
          <w:sz w:val="24"/>
          <w:u w:val="none"/>
          <w:lang w:eastAsia="zh-CN"/>
        </w:rPr>
        <w:t xml:space="preserve">    </w:t>
      </w:r>
      <w:r>
        <w:rPr>
          <w:rFonts w:hint="eastAsia" w:ascii="仿宋_GB2312" w:eastAsia="仿宋_GB2312"/>
          <w:b/>
          <w:sz w:val="21"/>
          <w:szCs w:val="21"/>
          <w:u w:val="none"/>
          <w:lang w:eastAsia="zh-CN"/>
        </w:rPr>
        <w:t>供应商有一览表中下列情形之一的，其响应文件作否决处理，否决响应文件条件之外的评审小组一律不得否决其响应文件。</w:t>
      </w:r>
    </w:p>
    <w:tbl>
      <w:tblPr>
        <w:tblStyle w:val="40"/>
        <w:tblW w:w="95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276"/>
        <w:gridCol w:w="7014"/>
      </w:tblGrid>
      <w:tr w14:paraId="203F6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blHeader/>
          <w:jc w:val="center"/>
        </w:trPr>
        <w:tc>
          <w:tcPr>
            <w:tcW w:w="1242" w:type="dxa"/>
            <w:vAlign w:val="bottom"/>
          </w:tcPr>
          <w:p w14:paraId="75A4072C">
            <w:pPr>
              <w:spacing w:line="320" w:lineRule="exact"/>
              <w:jc w:val="center"/>
              <w:rPr>
                <w:rFonts w:ascii="宋体" w:hAnsi="宋体"/>
                <w:b/>
                <w:szCs w:val="21"/>
              </w:rPr>
            </w:pPr>
            <w:r>
              <w:rPr>
                <w:rFonts w:hint="eastAsia" w:ascii="宋体" w:hAnsi="宋体"/>
                <w:b/>
                <w:szCs w:val="21"/>
              </w:rPr>
              <w:t>章节号</w:t>
            </w:r>
          </w:p>
        </w:tc>
        <w:tc>
          <w:tcPr>
            <w:tcW w:w="1276" w:type="dxa"/>
            <w:vAlign w:val="bottom"/>
          </w:tcPr>
          <w:p w14:paraId="3A092C30">
            <w:pPr>
              <w:spacing w:line="320" w:lineRule="exact"/>
              <w:jc w:val="center"/>
              <w:rPr>
                <w:rFonts w:ascii="宋体" w:hAnsi="宋体"/>
                <w:b/>
                <w:szCs w:val="21"/>
              </w:rPr>
            </w:pPr>
            <w:r>
              <w:rPr>
                <w:rFonts w:hint="eastAsia" w:ascii="宋体" w:hAnsi="宋体"/>
                <w:b/>
                <w:szCs w:val="21"/>
              </w:rPr>
              <w:t>条款名称</w:t>
            </w:r>
          </w:p>
        </w:tc>
        <w:tc>
          <w:tcPr>
            <w:tcW w:w="7014" w:type="dxa"/>
            <w:vAlign w:val="bottom"/>
          </w:tcPr>
          <w:p w14:paraId="24DDE7CB">
            <w:pPr>
              <w:spacing w:line="320" w:lineRule="exact"/>
              <w:jc w:val="center"/>
              <w:rPr>
                <w:rFonts w:ascii="宋体" w:hAnsi="宋体"/>
                <w:b/>
                <w:szCs w:val="21"/>
              </w:rPr>
            </w:pPr>
            <w:r>
              <w:rPr>
                <w:rFonts w:hint="eastAsia" w:ascii="宋体" w:hAnsi="宋体"/>
                <w:b/>
                <w:szCs w:val="21"/>
              </w:rPr>
              <w:t>否决条件</w:t>
            </w:r>
          </w:p>
        </w:tc>
      </w:tr>
      <w:tr w14:paraId="38BE2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1242" w:type="dxa"/>
            <w:vAlign w:val="center"/>
          </w:tcPr>
          <w:p w14:paraId="5D622E01">
            <w:pPr>
              <w:spacing w:line="320" w:lineRule="exact"/>
              <w:jc w:val="center"/>
              <w:rPr>
                <w:rFonts w:ascii="宋体" w:hAnsi="宋体"/>
                <w:szCs w:val="21"/>
              </w:rPr>
            </w:pPr>
            <w:r>
              <w:rPr>
                <w:rFonts w:hint="eastAsia" w:ascii="宋体" w:hAnsi="宋体"/>
                <w:szCs w:val="21"/>
              </w:rPr>
              <w:t>第二章1.4.1</w:t>
            </w:r>
          </w:p>
        </w:tc>
        <w:tc>
          <w:tcPr>
            <w:tcW w:w="1276" w:type="dxa"/>
            <w:vAlign w:val="center"/>
          </w:tcPr>
          <w:p w14:paraId="445469F2">
            <w:pPr>
              <w:spacing w:line="320" w:lineRule="exact"/>
              <w:jc w:val="center"/>
              <w:rPr>
                <w:rFonts w:ascii="宋体" w:hAnsi="宋体"/>
                <w:szCs w:val="21"/>
              </w:rPr>
            </w:pPr>
            <w:r>
              <w:rPr>
                <w:rFonts w:hint="eastAsia" w:ascii="宋体" w:hAnsi="宋体"/>
                <w:szCs w:val="21"/>
              </w:rPr>
              <w:t>供应商资质条件、能力和信誉</w:t>
            </w:r>
          </w:p>
        </w:tc>
        <w:tc>
          <w:tcPr>
            <w:tcW w:w="7014" w:type="dxa"/>
            <w:vAlign w:val="center"/>
          </w:tcPr>
          <w:p w14:paraId="3757879E">
            <w:pPr>
              <w:spacing w:line="320" w:lineRule="exact"/>
              <w:ind w:firstLine="420" w:firstLineChars="200"/>
              <w:rPr>
                <w:rFonts w:ascii="宋体" w:hAnsi="宋体"/>
                <w:kern w:val="0"/>
                <w:szCs w:val="21"/>
              </w:rPr>
            </w:pPr>
            <w:r>
              <w:rPr>
                <w:rFonts w:hint="eastAsia" w:ascii="宋体" w:hAnsi="宋体"/>
                <w:szCs w:val="21"/>
              </w:rPr>
              <w:t>第二章供应商须知前附表</w:t>
            </w:r>
            <w:r>
              <w:rPr>
                <w:rFonts w:hint="eastAsia" w:ascii="宋体" w:hAnsi="宋体"/>
                <w:szCs w:val="21"/>
                <w:lang w:val="zh-CN"/>
              </w:rPr>
              <w:t>“1.4.1供应商资质条件、能力和信誉”中只要有一条不满足即</w:t>
            </w:r>
            <w:r>
              <w:rPr>
                <w:rFonts w:hint="eastAsia" w:ascii="宋体" w:hAnsi="宋体"/>
                <w:szCs w:val="21"/>
              </w:rPr>
              <w:t>作否决</w:t>
            </w:r>
            <w:r>
              <w:rPr>
                <w:rFonts w:hint="eastAsia" w:ascii="宋体" w:hAnsi="宋体"/>
                <w:szCs w:val="21"/>
                <w:lang w:eastAsia="zh-CN"/>
              </w:rPr>
              <w:t>响应文件</w:t>
            </w:r>
            <w:r>
              <w:rPr>
                <w:rFonts w:hint="eastAsia" w:ascii="宋体" w:hAnsi="宋体"/>
                <w:szCs w:val="21"/>
              </w:rPr>
              <w:t>处理</w:t>
            </w:r>
            <w:r>
              <w:rPr>
                <w:rFonts w:hint="eastAsia" w:ascii="宋体" w:hAnsi="宋体"/>
                <w:szCs w:val="21"/>
                <w:lang w:val="zh-CN"/>
              </w:rPr>
              <w:t>。</w:t>
            </w:r>
          </w:p>
        </w:tc>
      </w:tr>
      <w:tr w14:paraId="0954E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1242" w:type="dxa"/>
            <w:vAlign w:val="center"/>
          </w:tcPr>
          <w:p w14:paraId="0D7537CB">
            <w:pPr>
              <w:spacing w:line="320" w:lineRule="exact"/>
              <w:jc w:val="center"/>
              <w:rPr>
                <w:rFonts w:ascii="宋体" w:hAnsi="宋体"/>
                <w:szCs w:val="21"/>
              </w:rPr>
            </w:pPr>
            <w:r>
              <w:rPr>
                <w:rFonts w:hint="eastAsia" w:ascii="宋体" w:hAnsi="宋体"/>
                <w:szCs w:val="21"/>
              </w:rPr>
              <w:t>第二章</w:t>
            </w:r>
          </w:p>
          <w:p w14:paraId="79F1318A">
            <w:pPr>
              <w:spacing w:line="320" w:lineRule="exact"/>
              <w:jc w:val="center"/>
              <w:rPr>
                <w:rFonts w:ascii="宋体" w:hAnsi="宋体"/>
                <w:szCs w:val="21"/>
              </w:rPr>
            </w:pPr>
            <w:r>
              <w:rPr>
                <w:rFonts w:hint="eastAsia" w:ascii="宋体" w:hAnsi="宋体"/>
                <w:szCs w:val="21"/>
              </w:rPr>
              <w:t>1.12</w:t>
            </w:r>
          </w:p>
        </w:tc>
        <w:tc>
          <w:tcPr>
            <w:tcW w:w="1276" w:type="dxa"/>
            <w:vAlign w:val="center"/>
          </w:tcPr>
          <w:p w14:paraId="1C69E16F">
            <w:pPr>
              <w:spacing w:line="320" w:lineRule="exact"/>
              <w:jc w:val="center"/>
              <w:rPr>
                <w:rFonts w:ascii="宋体" w:hAnsi="宋体"/>
                <w:szCs w:val="21"/>
              </w:rPr>
            </w:pPr>
            <w:r>
              <w:rPr>
                <w:rFonts w:hint="eastAsia" w:ascii="宋体" w:hAnsi="宋体"/>
                <w:szCs w:val="21"/>
              </w:rPr>
              <w:t>响应和偏差</w:t>
            </w:r>
          </w:p>
        </w:tc>
        <w:tc>
          <w:tcPr>
            <w:tcW w:w="7014" w:type="dxa"/>
            <w:vAlign w:val="center"/>
          </w:tcPr>
          <w:p w14:paraId="7862D986">
            <w:pPr>
              <w:spacing w:line="320" w:lineRule="exact"/>
              <w:ind w:firstLine="420" w:firstLineChars="200"/>
              <w:rPr>
                <w:rFonts w:ascii="宋体" w:hAnsi="宋体"/>
                <w:kern w:val="0"/>
                <w:szCs w:val="21"/>
              </w:rPr>
            </w:pPr>
            <w:r>
              <w:rPr>
                <w:rFonts w:hint="eastAsia" w:ascii="宋体" w:hAnsi="宋体"/>
                <w:szCs w:val="21"/>
                <w:lang w:eastAsia="zh-CN"/>
              </w:rPr>
              <w:t>响应文件</w:t>
            </w:r>
            <w:r>
              <w:rPr>
                <w:rFonts w:ascii="宋体" w:hAnsi="宋体"/>
                <w:szCs w:val="21"/>
              </w:rPr>
              <w:t>应当对</w:t>
            </w:r>
            <w:r>
              <w:rPr>
                <w:rFonts w:hint="eastAsia" w:ascii="宋体" w:hAnsi="宋体" w:cs="宋体"/>
                <w:szCs w:val="21"/>
                <w:lang w:eastAsia="zh-CN"/>
              </w:rPr>
              <w:t>竞争谈判</w:t>
            </w:r>
            <w:r>
              <w:rPr>
                <w:rFonts w:hint="eastAsia" w:ascii="宋体" w:hAnsi="宋体"/>
                <w:szCs w:val="21"/>
                <w:lang w:eastAsia="zh-CN"/>
              </w:rPr>
              <w:t>文件</w:t>
            </w:r>
            <w:r>
              <w:rPr>
                <w:rFonts w:ascii="宋体" w:hAnsi="宋体"/>
                <w:szCs w:val="21"/>
              </w:rPr>
              <w:t>的实质性要求和条件作出满足性或更有利于</w:t>
            </w:r>
            <w:r>
              <w:rPr>
                <w:rFonts w:hint="eastAsia" w:ascii="宋体" w:hAnsi="宋体"/>
                <w:szCs w:val="21"/>
              </w:rPr>
              <w:t>采购人</w:t>
            </w:r>
            <w:r>
              <w:rPr>
                <w:rFonts w:ascii="宋体" w:hAnsi="宋体"/>
                <w:szCs w:val="21"/>
              </w:rPr>
              <w:t>的响应，否则，</w:t>
            </w:r>
            <w:r>
              <w:rPr>
                <w:rFonts w:hint="eastAsia" w:ascii="宋体" w:hAnsi="宋体"/>
                <w:szCs w:val="21"/>
              </w:rPr>
              <w:t>供应商</w:t>
            </w:r>
            <w:r>
              <w:rPr>
                <w:rFonts w:ascii="宋体" w:hAnsi="宋体"/>
                <w:szCs w:val="21"/>
              </w:rPr>
              <w:t>的</w:t>
            </w:r>
            <w:r>
              <w:rPr>
                <w:rFonts w:hint="eastAsia" w:ascii="宋体" w:hAnsi="宋体"/>
                <w:szCs w:val="21"/>
                <w:lang w:eastAsia="zh-CN"/>
              </w:rPr>
              <w:t>响应文件</w:t>
            </w:r>
            <w:r>
              <w:rPr>
                <w:rFonts w:ascii="宋体" w:hAnsi="宋体"/>
                <w:szCs w:val="21"/>
              </w:rPr>
              <w:t>将被否决。实质性要求和条件见</w:t>
            </w:r>
            <w:r>
              <w:rPr>
                <w:rFonts w:hint="eastAsia" w:ascii="宋体" w:hAnsi="宋体"/>
                <w:szCs w:val="21"/>
              </w:rPr>
              <w:t>供应商</w:t>
            </w:r>
            <w:r>
              <w:rPr>
                <w:rFonts w:ascii="宋体" w:hAnsi="宋体"/>
                <w:szCs w:val="21"/>
              </w:rPr>
              <w:t>须知前附表。</w:t>
            </w:r>
          </w:p>
        </w:tc>
      </w:tr>
      <w:tr w14:paraId="21A0E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61" w:hRule="atLeast"/>
          <w:jc w:val="center"/>
        </w:trPr>
        <w:tc>
          <w:tcPr>
            <w:tcW w:w="1242" w:type="dxa"/>
            <w:vAlign w:val="center"/>
          </w:tcPr>
          <w:p w14:paraId="053C31C2">
            <w:pPr>
              <w:spacing w:line="320" w:lineRule="exact"/>
              <w:jc w:val="center"/>
              <w:rPr>
                <w:rFonts w:ascii="宋体" w:hAnsi="宋体"/>
                <w:szCs w:val="21"/>
              </w:rPr>
            </w:pPr>
            <w:r>
              <w:rPr>
                <w:rFonts w:hint="eastAsia" w:ascii="宋体" w:hAnsi="宋体"/>
                <w:szCs w:val="21"/>
              </w:rPr>
              <w:t>第二章3.4</w:t>
            </w:r>
          </w:p>
        </w:tc>
        <w:tc>
          <w:tcPr>
            <w:tcW w:w="1276" w:type="dxa"/>
            <w:vAlign w:val="center"/>
          </w:tcPr>
          <w:p w14:paraId="3B0D9C6D">
            <w:pPr>
              <w:spacing w:line="320" w:lineRule="exact"/>
              <w:jc w:val="center"/>
              <w:rPr>
                <w:rFonts w:ascii="宋体" w:hAnsi="宋体"/>
                <w:szCs w:val="21"/>
              </w:rPr>
            </w:pPr>
            <w:r>
              <w:rPr>
                <w:rFonts w:hint="eastAsia" w:ascii="宋体" w:hAnsi="宋体"/>
                <w:szCs w:val="21"/>
                <w:lang w:eastAsia="zh-CN"/>
              </w:rPr>
              <w:t>谈判</w:t>
            </w:r>
            <w:r>
              <w:rPr>
                <w:rFonts w:hint="eastAsia" w:ascii="宋体" w:hAnsi="宋体"/>
                <w:szCs w:val="21"/>
              </w:rPr>
              <w:t>保证金</w:t>
            </w:r>
          </w:p>
        </w:tc>
        <w:tc>
          <w:tcPr>
            <w:tcW w:w="7014" w:type="dxa"/>
            <w:vAlign w:val="center"/>
          </w:tcPr>
          <w:p w14:paraId="7B8D9129">
            <w:pPr>
              <w:spacing w:line="320" w:lineRule="exact"/>
              <w:ind w:firstLine="420" w:firstLineChars="200"/>
              <w:jc w:val="center"/>
              <w:rPr>
                <w:rFonts w:ascii="宋体" w:hAnsi="宋体"/>
                <w:szCs w:val="21"/>
              </w:rPr>
            </w:pPr>
            <w:r>
              <w:rPr>
                <w:rFonts w:hint="eastAsia" w:ascii="宋体" w:hAnsi="宋体"/>
                <w:szCs w:val="21"/>
              </w:rPr>
              <w:t>按第二章“供应商须知”第 3.4 .1项执行，否则作否决</w:t>
            </w:r>
            <w:r>
              <w:rPr>
                <w:rFonts w:hint="eastAsia" w:ascii="宋体" w:hAnsi="宋体"/>
                <w:szCs w:val="21"/>
                <w:lang w:eastAsia="zh-CN"/>
              </w:rPr>
              <w:t>响应文件</w:t>
            </w:r>
            <w:r>
              <w:rPr>
                <w:rFonts w:hint="eastAsia" w:ascii="宋体" w:hAnsi="宋体"/>
                <w:szCs w:val="21"/>
              </w:rPr>
              <w:t>处理。</w:t>
            </w:r>
          </w:p>
        </w:tc>
      </w:tr>
      <w:tr w14:paraId="24199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1242" w:type="dxa"/>
            <w:vAlign w:val="center"/>
          </w:tcPr>
          <w:p w14:paraId="0B9E217C">
            <w:pPr>
              <w:spacing w:line="320" w:lineRule="exact"/>
              <w:jc w:val="center"/>
              <w:rPr>
                <w:rFonts w:ascii="宋体" w:hAnsi="宋体"/>
                <w:szCs w:val="21"/>
              </w:rPr>
            </w:pPr>
            <w:r>
              <w:rPr>
                <w:rFonts w:hint="eastAsia" w:ascii="宋体" w:hAnsi="宋体"/>
                <w:szCs w:val="21"/>
              </w:rPr>
              <w:t>第二章3.6.1</w:t>
            </w:r>
          </w:p>
        </w:tc>
        <w:tc>
          <w:tcPr>
            <w:tcW w:w="1276" w:type="dxa"/>
            <w:vAlign w:val="center"/>
          </w:tcPr>
          <w:p w14:paraId="212D7857">
            <w:pPr>
              <w:spacing w:line="320" w:lineRule="exact"/>
              <w:jc w:val="center"/>
              <w:rPr>
                <w:rFonts w:ascii="宋体" w:hAnsi="宋体" w:cs="宋体"/>
                <w:kern w:val="0"/>
                <w:szCs w:val="21"/>
              </w:rPr>
            </w:pPr>
            <w:r>
              <w:rPr>
                <w:rFonts w:hint="eastAsia" w:ascii="宋体" w:hAnsi="宋体" w:cs="宋体"/>
                <w:kern w:val="0"/>
                <w:szCs w:val="21"/>
              </w:rPr>
              <w:t>备选方案</w:t>
            </w:r>
          </w:p>
        </w:tc>
        <w:tc>
          <w:tcPr>
            <w:tcW w:w="7014" w:type="dxa"/>
            <w:vAlign w:val="center"/>
          </w:tcPr>
          <w:p w14:paraId="027F4EDB">
            <w:pPr>
              <w:spacing w:line="320" w:lineRule="exact"/>
              <w:ind w:firstLine="420" w:firstLineChars="200"/>
              <w:rPr>
                <w:rFonts w:ascii="宋体" w:hAnsi="宋体"/>
                <w:kern w:val="0"/>
                <w:szCs w:val="21"/>
              </w:rPr>
            </w:pPr>
            <w:r>
              <w:rPr>
                <w:rFonts w:hint="eastAsia" w:ascii="宋体" w:hAnsi="宋体"/>
                <w:szCs w:val="21"/>
              </w:rPr>
              <w:t>按第二章“供应商须知”第 3.6 .1项执行，否则作否决</w:t>
            </w:r>
            <w:r>
              <w:rPr>
                <w:rFonts w:hint="eastAsia" w:ascii="宋体" w:hAnsi="宋体"/>
                <w:szCs w:val="21"/>
                <w:lang w:eastAsia="zh-CN"/>
              </w:rPr>
              <w:t>响应文件</w:t>
            </w:r>
            <w:r>
              <w:rPr>
                <w:rFonts w:hint="eastAsia" w:ascii="宋体" w:hAnsi="宋体"/>
                <w:szCs w:val="21"/>
              </w:rPr>
              <w:t>处理。</w:t>
            </w:r>
          </w:p>
        </w:tc>
      </w:tr>
      <w:tr w14:paraId="31D21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1242" w:type="dxa"/>
            <w:vAlign w:val="center"/>
          </w:tcPr>
          <w:p w14:paraId="354094E7">
            <w:pPr>
              <w:spacing w:line="320" w:lineRule="exact"/>
              <w:jc w:val="center"/>
              <w:rPr>
                <w:rFonts w:ascii="宋体" w:hAnsi="宋体"/>
                <w:szCs w:val="21"/>
              </w:rPr>
            </w:pPr>
            <w:r>
              <w:rPr>
                <w:rFonts w:hint="eastAsia" w:ascii="宋体" w:hAnsi="宋体"/>
                <w:szCs w:val="21"/>
              </w:rPr>
              <w:t>第二章</w:t>
            </w:r>
          </w:p>
          <w:p w14:paraId="23316648">
            <w:pPr>
              <w:spacing w:line="320" w:lineRule="exact"/>
              <w:jc w:val="center"/>
            </w:pPr>
            <w:r>
              <w:rPr>
                <w:rFonts w:hint="eastAsia" w:ascii="宋体" w:hAnsi="宋体"/>
                <w:szCs w:val="21"/>
              </w:rPr>
              <w:t>3.7.3（1）</w:t>
            </w:r>
          </w:p>
        </w:tc>
        <w:tc>
          <w:tcPr>
            <w:tcW w:w="1276" w:type="dxa"/>
            <w:vAlign w:val="center"/>
          </w:tcPr>
          <w:p w14:paraId="7742C946">
            <w:pPr>
              <w:jc w:val="center"/>
              <w:rPr>
                <w:rFonts w:ascii="宋体" w:hAnsi="宋体" w:cs="宋体"/>
                <w:kern w:val="0"/>
                <w:szCs w:val="21"/>
              </w:rPr>
            </w:pPr>
            <w:r>
              <w:rPr>
                <w:rFonts w:hint="eastAsia" w:ascii="宋体" w:hAnsi="宋体" w:eastAsia="宋体" w:cs="宋体"/>
                <w:szCs w:val="21"/>
              </w:rPr>
              <w:t>签字或盖章</w:t>
            </w:r>
          </w:p>
        </w:tc>
        <w:tc>
          <w:tcPr>
            <w:tcW w:w="7014" w:type="dxa"/>
            <w:vAlign w:val="center"/>
          </w:tcPr>
          <w:p w14:paraId="76320751">
            <w:pPr>
              <w:spacing w:line="320" w:lineRule="exact"/>
              <w:ind w:firstLine="420" w:firstLineChars="200"/>
              <w:rPr>
                <w:rFonts w:ascii="宋体" w:hAnsi="宋体"/>
                <w:szCs w:val="21"/>
              </w:rPr>
            </w:pPr>
            <w:r>
              <w:rPr>
                <w:rFonts w:hint="eastAsia" w:ascii="宋体" w:hAnsi="宋体"/>
                <w:szCs w:val="21"/>
              </w:rPr>
              <w:t>按第二章“供应商须知”第 3.7 .3（1）项执行，否则作否决</w:t>
            </w:r>
            <w:r>
              <w:rPr>
                <w:rFonts w:hint="eastAsia" w:ascii="宋体" w:hAnsi="宋体"/>
                <w:szCs w:val="21"/>
                <w:lang w:eastAsia="zh-CN"/>
              </w:rPr>
              <w:t>响应文件</w:t>
            </w:r>
            <w:r>
              <w:rPr>
                <w:rFonts w:hint="eastAsia" w:ascii="宋体" w:hAnsi="宋体"/>
                <w:szCs w:val="21"/>
              </w:rPr>
              <w:t>处理。</w:t>
            </w:r>
          </w:p>
        </w:tc>
      </w:tr>
      <w:tr w14:paraId="15459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1242" w:type="dxa"/>
            <w:vAlign w:val="center"/>
          </w:tcPr>
          <w:p w14:paraId="2C09767D">
            <w:pPr>
              <w:spacing w:line="320" w:lineRule="exact"/>
              <w:jc w:val="center"/>
              <w:rPr>
                <w:rFonts w:ascii="宋体" w:hAnsi="宋体"/>
                <w:szCs w:val="21"/>
              </w:rPr>
            </w:pPr>
            <w:r>
              <w:rPr>
                <w:rFonts w:hint="eastAsia" w:ascii="宋体" w:hAnsi="宋体"/>
                <w:szCs w:val="21"/>
              </w:rPr>
              <w:t>第二章</w:t>
            </w:r>
          </w:p>
          <w:p w14:paraId="2C5D24DD">
            <w:pPr>
              <w:spacing w:line="320" w:lineRule="exact"/>
              <w:jc w:val="center"/>
              <w:rPr>
                <w:rFonts w:ascii="宋体" w:hAnsi="宋体"/>
                <w:szCs w:val="21"/>
              </w:rPr>
            </w:pPr>
            <w:r>
              <w:rPr>
                <w:rFonts w:hint="eastAsia" w:ascii="宋体" w:hAnsi="宋体"/>
                <w:szCs w:val="21"/>
              </w:rPr>
              <w:t>3.7.3（2）</w:t>
            </w:r>
          </w:p>
        </w:tc>
        <w:tc>
          <w:tcPr>
            <w:tcW w:w="1276" w:type="dxa"/>
            <w:vAlign w:val="center"/>
          </w:tcPr>
          <w:p w14:paraId="6EA63DE9">
            <w:pPr>
              <w:jc w:val="center"/>
              <w:rPr>
                <w:rFonts w:ascii="宋体" w:hAnsi="宋体" w:cs="宋体"/>
                <w:kern w:val="0"/>
                <w:szCs w:val="21"/>
              </w:rPr>
            </w:pPr>
            <w:r>
              <w:rPr>
                <w:rFonts w:hint="eastAsia" w:ascii="宋体" w:hAnsi="宋体" w:eastAsia="宋体" w:cs="宋体"/>
                <w:szCs w:val="21"/>
                <w:lang w:eastAsia="zh-CN"/>
              </w:rPr>
              <w:t>响应文件</w:t>
            </w:r>
            <w:r>
              <w:rPr>
                <w:rFonts w:hint="eastAsia" w:ascii="宋体" w:hAnsi="宋体" w:eastAsia="宋体" w:cs="宋体"/>
                <w:szCs w:val="21"/>
              </w:rPr>
              <w:t>份数</w:t>
            </w:r>
          </w:p>
        </w:tc>
        <w:tc>
          <w:tcPr>
            <w:tcW w:w="7014" w:type="dxa"/>
            <w:vAlign w:val="center"/>
          </w:tcPr>
          <w:p w14:paraId="2997B0ED">
            <w:pPr>
              <w:spacing w:line="320" w:lineRule="exact"/>
              <w:ind w:firstLine="420" w:firstLineChars="200"/>
              <w:rPr>
                <w:rFonts w:ascii="宋体" w:hAnsi="宋体"/>
                <w:szCs w:val="21"/>
              </w:rPr>
            </w:pPr>
            <w:r>
              <w:rPr>
                <w:rFonts w:hint="eastAsia" w:ascii="宋体" w:hAnsi="宋体"/>
                <w:szCs w:val="21"/>
              </w:rPr>
              <w:t>按第二章“供应商须知”第 3.7 .3（2）项执行，否则作否决</w:t>
            </w:r>
            <w:r>
              <w:rPr>
                <w:rFonts w:hint="eastAsia" w:ascii="宋体" w:hAnsi="宋体"/>
                <w:szCs w:val="21"/>
                <w:lang w:eastAsia="zh-CN"/>
              </w:rPr>
              <w:t>响应文件</w:t>
            </w:r>
            <w:r>
              <w:rPr>
                <w:rFonts w:hint="eastAsia" w:ascii="宋体" w:hAnsi="宋体"/>
                <w:szCs w:val="21"/>
              </w:rPr>
              <w:t>处理。</w:t>
            </w:r>
          </w:p>
        </w:tc>
      </w:tr>
      <w:tr w14:paraId="15BCD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0" w:hRule="atLeast"/>
          <w:jc w:val="center"/>
        </w:trPr>
        <w:tc>
          <w:tcPr>
            <w:tcW w:w="1242" w:type="dxa"/>
            <w:vMerge w:val="restart"/>
            <w:vAlign w:val="center"/>
          </w:tcPr>
          <w:p w14:paraId="34FF884B">
            <w:pPr>
              <w:spacing w:line="320" w:lineRule="exact"/>
              <w:jc w:val="center"/>
            </w:pPr>
            <w:r>
              <w:rPr>
                <w:rFonts w:hint="eastAsia"/>
              </w:rPr>
              <w:t>第三章</w:t>
            </w:r>
          </w:p>
          <w:p w14:paraId="0BB9C60A">
            <w:pPr>
              <w:spacing w:line="320" w:lineRule="exact"/>
              <w:jc w:val="center"/>
            </w:pPr>
            <w:r>
              <w:rPr>
                <w:rFonts w:hint="eastAsia" w:ascii="宋体" w:hAnsi="宋体" w:eastAsia="宋体" w:cs="宋体"/>
              </w:rPr>
              <w:t>2.1</w:t>
            </w:r>
          </w:p>
        </w:tc>
        <w:tc>
          <w:tcPr>
            <w:tcW w:w="1276" w:type="dxa"/>
            <w:vMerge w:val="restart"/>
            <w:vAlign w:val="center"/>
          </w:tcPr>
          <w:p w14:paraId="42EE0A1A">
            <w:pPr>
              <w:spacing w:line="320" w:lineRule="exact"/>
              <w:jc w:val="center"/>
              <w:rPr>
                <w:rFonts w:ascii="宋体" w:hAnsi="宋体"/>
                <w:szCs w:val="21"/>
              </w:rPr>
            </w:pPr>
            <w:r>
              <w:rPr>
                <w:rFonts w:hint="eastAsia" w:ascii="宋体" w:hAnsi="宋体"/>
                <w:szCs w:val="21"/>
              </w:rPr>
              <w:t>初步评审</w:t>
            </w:r>
          </w:p>
        </w:tc>
        <w:tc>
          <w:tcPr>
            <w:tcW w:w="7014" w:type="dxa"/>
          </w:tcPr>
          <w:p w14:paraId="7A7389AE">
            <w:pPr>
              <w:autoSpaceDE w:val="0"/>
              <w:autoSpaceDN w:val="0"/>
              <w:adjustRightInd w:val="0"/>
              <w:snapToGrid w:val="0"/>
              <w:spacing w:line="320" w:lineRule="exact"/>
              <w:ind w:firstLine="420" w:firstLineChars="200"/>
              <w:rPr>
                <w:rFonts w:ascii="宋体" w:hAnsi="宋体" w:cs="MingLiU"/>
                <w:kern w:val="0"/>
                <w:szCs w:val="21"/>
              </w:rPr>
            </w:pPr>
            <w:r>
              <w:rPr>
                <w:rFonts w:hint="eastAsia" w:ascii="宋体" w:hAnsi="宋体" w:cs="宋体"/>
                <w:szCs w:val="21"/>
              </w:rPr>
              <w:t>评审小组根据本章第2.1款规定的标准对</w:t>
            </w:r>
            <w:r>
              <w:rPr>
                <w:rFonts w:hint="eastAsia" w:ascii="宋体" w:hAnsi="宋体" w:cs="宋体"/>
                <w:szCs w:val="21"/>
                <w:lang w:eastAsia="zh-CN"/>
              </w:rPr>
              <w:t>响应文件</w:t>
            </w:r>
            <w:r>
              <w:rPr>
                <w:rFonts w:hint="eastAsia" w:ascii="宋体" w:hAnsi="宋体" w:cs="宋体"/>
                <w:szCs w:val="21"/>
              </w:rPr>
              <w:t>进行初步评审。有一项不符合评审标准的，作否决处理。</w:t>
            </w:r>
          </w:p>
        </w:tc>
      </w:tr>
      <w:tr w14:paraId="62534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0" w:hRule="atLeast"/>
          <w:jc w:val="center"/>
        </w:trPr>
        <w:tc>
          <w:tcPr>
            <w:tcW w:w="1242" w:type="dxa"/>
            <w:vMerge w:val="continue"/>
            <w:vAlign w:val="center"/>
          </w:tcPr>
          <w:p w14:paraId="3503BAD8">
            <w:pPr>
              <w:spacing w:line="320" w:lineRule="exact"/>
              <w:jc w:val="center"/>
              <w:rPr>
                <w:rFonts w:ascii="宋体" w:hAnsi="宋体"/>
                <w:szCs w:val="21"/>
              </w:rPr>
            </w:pPr>
          </w:p>
        </w:tc>
        <w:tc>
          <w:tcPr>
            <w:tcW w:w="1276" w:type="dxa"/>
            <w:vMerge w:val="continue"/>
            <w:vAlign w:val="center"/>
          </w:tcPr>
          <w:p w14:paraId="57E81EA6">
            <w:pPr>
              <w:spacing w:line="320" w:lineRule="exact"/>
              <w:jc w:val="center"/>
              <w:rPr>
                <w:rFonts w:ascii="宋体" w:hAnsi="宋体"/>
                <w:szCs w:val="21"/>
              </w:rPr>
            </w:pPr>
          </w:p>
        </w:tc>
        <w:tc>
          <w:tcPr>
            <w:tcW w:w="7014" w:type="dxa"/>
          </w:tcPr>
          <w:p w14:paraId="5C2EC9A3">
            <w:pPr>
              <w:spacing w:line="320" w:lineRule="exact"/>
              <w:rPr>
                <w:rFonts w:ascii="宋体" w:hAnsi="宋体"/>
                <w:szCs w:val="21"/>
              </w:rPr>
            </w:pPr>
            <w:r>
              <w:rPr>
                <w:rFonts w:hint="eastAsia" w:ascii="宋体" w:hAnsi="宋体"/>
                <w:szCs w:val="21"/>
              </w:rPr>
              <w:t>供应商有以下情形之一的，其</w:t>
            </w:r>
            <w:r>
              <w:rPr>
                <w:rFonts w:hint="eastAsia" w:ascii="宋体" w:hAnsi="宋体"/>
                <w:szCs w:val="21"/>
                <w:lang w:eastAsia="zh-CN"/>
              </w:rPr>
              <w:t>响应文件</w:t>
            </w:r>
            <w:r>
              <w:rPr>
                <w:rFonts w:hint="eastAsia" w:ascii="宋体" w:hAnsi="宋体"/>
                <w:szCs w:val="21"/>
              </w:rPr>
              <w:t>作否决处理：</w:t>
            </w:r>
          </w:p>
          <w:p w14:paraId="02057F53">
            <w:pPr>
              <w:spacing w:line="320" w:lineRule="exact"/>
              <w:ind w:firstLine="420" w:firstLineChars="200"/>
              <w:rPr>
                <w:rFonts w:ascii="宋体" w:hAnsi="宋体"/>
                <w:szCs w:val="21"/>
              </w:rPr>
            </w:pPr>
            <w:r>
              <w:rPr>
                <w:rFonts w:hint="eastAsia" w:ascii="宋体" w:hAnsi="宋体"/>
                <w:szCs w:val="21"/>
              </w:rPr>
              <w:t>第二章“供应商须知”1.4.3项规定的任何一种情形的；</w:t>
            </w:r>
          </w:p>
          <w:p w14:paraId="3C461B64">
            <w:pPr>
              <w:spacing w:line="320" w:lineRule="exact"/>
              <w:ind w:firstLine="420" w:firstLineChars="200"/>
              <w:rPr>
                <w:rFonts w:ascii="宋体" w:hAnsi="宋体"/>
                <w:szCs w:val="21"/>
              </w:rPr>
            </w:pPr>
            <w:r>
              <w:rPr>
                <w:rFonts w:hint="eastAsia" w:ascii="宋体" w:hAnsi="宋体"/>
                <w:szCs w:val="21"/>
              </w:rPr>
              <w:t>（1）串通或以弄虚作假手段参加</w:t>
            </w:r>
            <w:r>
              <w:rPr>
                <w:rFonts w:hint="eastAsia" w:ascii="宋体" w:hAnsi="宋体"/>
                <w:szCs w:val="21"/>
                <w:lang w:eastAsia="zh-CN"/>
              </w:rPr>
              <w:t>谈判</w:t>
            </w:r>
            <w:r>
              <w:rPr>
                <w:rFonts w:hint="eastAsia" w:ascii="宋体" w:hAnsi="宋体"/>
                <w:szCs w:val="21"/>
              </w:rPr>
              <w:t>或有其他违法行为的；</w:t>
            </w:r>
          </w:p>
          <w:p w14:paraId="441F5082">
            <w:pPr>
              <w:spacing w:line="320" w:lineRule="exact"/>
              <w:ind w:firstLine="420" w:firstLineChars="200"/>
              <w:rPr>
                <w:rFonts w:ascii="宋体" w:hAnsi="宋体" w:cs="宋体"/>
                <w:szCs w:val="21"/>
              </w:rPr>
            </w:pPr>
            <w:r>
              <w:rPr>
                <w:rFonts w:hint="eastAsia" w:ascii="宋体" w:hAnsi="宋体"/>
                <w:szCs w:val="21"/>
              </w:rPr>
              <w:t>（2）不按评审小组要求澄清、说明或补正的。</w:t>
            </w:r>
          </w:p>
        </w:tc>
      </w:tr>
      <w:tr w14:paraId="09E86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0" w:hRule="atLeast"/>
          <w:jc w:val="center"/>
        </w:trPr>
        <w:tc>
          <w:tcPr>
            <w:tcW w:w="1242" w:type="dxa"/>
            <w:vMerge w:val="continue"/>
            <w:vAlign w:val="center"/>
          </w:tcPr>
          <w:p w14:paraId="6F015ACA">
            <w:pPr>
              <w:spacing w:line="320" w:lineRule="exact"/>
              <w:jc w:val="center"/>
              <w:rPr>
                <w:rFonts w:ascii="宋体" w:hAnsi="宋体"/>
                <w:szCs w:val="21"/>
              </w:rPr>
            </w:pPr>
          </w:p>
        </w:tc>
        <w:tc>
          <w:tcPr>
            <w:tcW w:w="1276" w:type="dxa"/>
            <w:vMerge w:val="continue"/>
            <w:vAlign w:val="center"/>
          </w:tcPr>
          <w:p w14:paraId="7C17C4EE">
            <w:pPr>
              <w:spacing w:line="320" w:lineRule="exact"/>
              <w:jc w:val="center"/>
              <w:rPr>
                <w:rFonts w:ascii="宋体" w:hAnsi="宋体"/>
                <w:szCs w:val="21"/>
              </w:rPr>
            </w:pPr>
          </w:p>
        </w:tc>
        <w:tc>
          <w:tcPr>
            <w:tcW w:w="7014" w:type="dxa"/>
          </w:tcPr>
          <w:p w14:paraId="1C1F7F52">
            <w:pPr>
              <w:autoSpaceDE w:val="0"/>
              <w:autoSpaceDN w:val="0"/>
              <w:adjustRightInd w:val="0"/>
              <w:snapToGrid w:val="0"/>
              <w:spacing w:line="320" w:lineRule="exact"/>
              <w:ind w:firstLine="420" w:firstLineChars="200"/>
              <w:rPr>
                <w:rFonts w:ascii="宋体" w:hAnsi="宋体" w:cs="宋体"/>
                <w:szCs w:val="21"/>
              </w:rPr>
            </w:pPr>
            <w:r>
              <w:rPr>
                <w:rFonts w:hint="eastAsia" w:ascii="宋体" w:hAnsi="宋体"/>
                <w:szCs w:val="21"/>
                <w:lang w:eastAsia="zh-CN"/>
              </w:rPr>
              <w:t>谈判</w:t>
            </w:r>
            <w:r>
              <w:rPr>
                <w:rFonts w:hint="eastAsia" w:ascii="宋体" w:hAnsi="宋体"/>
                <w:szCs w:val="21"/>
              </w:rPr>
              <w:t>总报价有算数错误的，评审小组按以下原则对</w:t>
            </w:r>
            <w:r>
              <w:rPr>
                <w:rFonts w:hint="eastAsia" w:ascii="宋体" w:hAnsi="宋体"/>
                <w:szCs w:val="21"/>
                <w:lang w:eastAsia="zh-CN"/>
              </w:rPr>
              <w:t>谈判</w:t>
            </w:r>
            <w:r>
              <w:rPr>
                <w:rFonts w:hint="eastAsia" w:ascii="宋体" w:hAnsi="宋体"/>
                <w:szCs w:val="21"/>
              </w:rPr>
              <w:t>总报价进行修正，修正的价格经供应商书面确认后具有约束力。供应商不接受修正价格的，否决其</w:t>
            </w:r>
            <w:r>
              <w:rPr>
                <w:rFonts w:hint="eastAsia" w:ascii="宋体" w:hAnsi="宋体"/>
                <w:szCs w:val="21"/>
                <w:lang w:eastAsia="zh-CN"/>
              </w:rPr>
              <w:t>响应文件</w:t>
            </w:r>
            <w:r>
              <w:rPr>
                <w:rFonts w:hint="eastAsia" w:ascii="宋体" w:hAnsi="宋体"/>
                <w:szCs w:val="21"/>
              </w:rPr>
              <w:t>。</w:t>
            </w:r>
          </w:p>
        </w:tc>
      </w:tr>
    </w:tbl>
    <w:p w14:paraId="2AC956FD">
      <w:pPr>
        <w:jc w:val="center"/>
      </w:pPr>
      <w:r>
        <w:br w:type="page"/>
      </w:r>
    </w:p>
    <w:p w14:paraId="2274E9D9">
      <w:pPr>
        <w:pStyle w:val="3"/>
        <w:spacing w:line="360" w:lineRule="auto"/>
        <w:jc w:val="center"/>
        <w:rPr>
          <w:rFonts w:ascii="宋体" w:hAnsi="宋体"/>
          <w:color w:val="auto"/>
          <w:highlight w:val="none"/>
        </w:rPr>
      </w:pPr>
      <w:bookmarkStart w:id="516" w:name="_Toc287607861"/>
      <w:bookmarkStart w:id="517" w:name="_Toc534185825"/>
      <w:bookmarkStart w:id="518" w:name="_Toc287620803"/>
      <w:bookmarkStart w:id="519" w:name="_Toc430530519"/>
      <w:bookmarkStart w:id="520" w:name="_Toc509218846"/>
      <w:bookmarkStart w:id="521" w:name="_Toc7023"/>
      <w:bookmarkStart w:id="522" w:name="_Toc14454"/>
      <w:bookmarkStart w:id="523" w:name="_Toc5099"/>
      <w:bookmarkStart w:id="524" w:name="_Toc14900"/>
      <w:bookmarkStart w:id="525" w:name="_Toc72327986"/>
      <w:bookmarkStart w:id="526" w:name="_Toc16925"/>
      <w:bookmarkStart w:id="527" w:name="_Toc179632787"/>
      <w:bookmarkStart w:id="528" w:name="_Toc246996338"/>
      <w:bookmarkStart w:id="529" w:name="_Toc246997081"/>
      <w:bookmarkStart w:id="530" w:name="_Toc247085853"/>
      <w:bookmarkStart w:id="531" w:name="_Toc247514197"/>
      <w:bookmarkStart w:id="532" w:name="_Toc184635122"/>
      <w:bookmarkStart w:id="533" w:name="_Toc152045610"/>
      <w:bookmarkStart w:id="534" w:name="_Toc152042388"/>
      <w:bookmarkStart w:id="535" w:name="_Toc300835199"/>
      <w:bookmarkStart w:id="536" w:name="_Toc144974829"/>
      <w:bookmarkStart w:id="537" w:name="_Toc144974578"/>
      <w:bookmarkStart w:id="538" w:name="_Toc247527798"/>
      <w:bookmarkStart w:id="539" w:name="_Toc152042549"/>
      <w:r>
        <w:rPr>
          <w:rFonts w:hint="eastAsia" w:ascii="宋体" w:hAnsi="宋体"/>
          <w:color w:val="auto"/>
          <w:highlight w:val="none"/>
        </w:rPr>
        <w:t>第</w:t>
      </w:r>
      <w:r>
        <w:rPr>
          <w:rFonts w:hint="eastAsia" w:ascii="宋体" w:hAnsi="宋体"/>
          <w:color w:val="auto"/>
          <w:highlight w:val="none"/>
          <w:lang w:val="en-US" w:eastAsia="zh-CN"/>
        </w:rPr>
        <w:t>四</w:t>
      </w:r>
      <w:r>
        <w:rPr>
          <w:rFonts w:hint="eastAsia" w:ascii="宋体" w:hAnsi="宋体"/>
          <w:color w:val="auto"/>
          <w:highlight w:val="none"/>
        </w:rPr>
        <w:t xml:space="preserve">章  </w:t>
      </w:r>
      <w:bookmarkEnd w:id="516"/>
      <w:bookmarkEnd w:id="517"/>
      <w:bookmarkEnd w:id="518"/>
      <w:bookmarkEnd w:id="519"/>
      <w:bookmarkEnd w:id="520"/>
      <w:r>
        <w:rPr>
          <w:rFonts w:hint="eastAsia" w:ascii="宋体" w:hAnsi="宋体"/>
          <w:color w:val="auto"/>
          <w:highlight w:val="none"/>
          <w:lang w:val="en-US" w:eastAsia="zh-CN"/>
        </w:rPr>
        <w:t>供货</w:t>
      </w:r>
      <w:r>
        <w:rPr>
          <w:rFonts w:hint="eastAsia" w:ascii="宋体" w:hAnsi="宋体"/>
          <w:color w:val="auto"/>
          <w:highlight w:val="none"/>
        </w:rPr>
        <w:t>要求</w:t>
      </w:r>
      <w:bookmarkEnd w:id="521"/>
      <w:bookmarkEnd w:id="522"/>
      <w:bookmarkEnd w:id="523"/>
    </w:p>
    <w:p w14:paraId="17A774F4">
      <w:pPr>
        <w:autoSpaceDE w:val="0"/>
        <w:autoSpaceDN w:val="0"/>
        <w:adjustRightInd w:val="0"/>
        <w:spacing w:before="7" w:line="100" w:lineRule="exact"/>
        <w:jc w:val="left"/>
        <w:rPr>
          <w:rFonts w:ascii="微软雅黑" w:eastAsia="微软雅黑" w:cs="微软雅黑"/>
          <w:color w:val="auto"/>
          <w:kern w:val="0"/>
          <w:sz w:val="10"/>
          <w:szCs w:val="10"/>
          <w:highlight w:val="none"/>
        </w:rPr>
      </w:pPr>
    </w:p>
    <w:p w14:paraId="41FA8839">
      <w:pPr>
        <w:pStyle w:val="5"/>
        <w:pageBreakBefore w:val="0"/>
        <w:widowControl w:val="0"/>
        <w:kinsoku/>
        <w:wordWrap/>
        <w:overflowPunct/>
        <w:topLinePunct w:val="0"/>
        <w:autoSpaceDE/>
        <w:autoSpaceDN/>
        <w:bidi w:val="0"/>
        <w:adjustRightInd/>
        <w:snapToGrid/>
        <w:spacing w:line="580" w:lineRule="exact"/>
        <w:textAlignment w:val="auto"/>
        <w:rPr>
          <w:b/>
          <w:bCs/>
          <w:color w:val="auto"/>
          <w:szCs w:val="28"/>
          <w:highlight w:val="none"/>
        </w:rPr>
      </w:pPr>
      <w:bookmarkStart w:id="540" w:name="_Toc1544"/>
      <w:bookmarkStart w:id="541" w:name="_Toc26227"/>
      <w:bookmarkStart w:id="542" w:name="_Toc32242"/>
      <w:bookmarkStart w:id="543" w:name="_Toc32322"/>
      <w:r>
        <w:rPr>
          <w:rFonts w:hint="eastAsia"/>
          <w:b/>
          <w:bCs/>
          <w:color w:val="auto"/>
          <w:szCs w:val="28"/>
          <w:highlight w:val="none"/>
        </w:rPr>
        <w:t>一、项目概况及总体要求</w:t>
      </w:r>
      <w:bookmarkEnd w:id="540"/>
      <w:bookmarkEnd w:id="541"/>
      <w:bookmarkEnd w:id="542"/>
      <w:bookmarkEnd w:id="543"/>
    </w:p>
    <w:p w14:paraId="14EBE86C">
      <w:pPr>
        <w:pageBreakBefore w:val="0"/>
        <w:widowControl w:val="0"/>
        <w:kinsoku/>
        <w:wordWrap/>
        <w:overflowPunct/>
        <w:topLinePunct w:val="0"/>
        <w:autoSpaceDE/>
        <w:autoSpaceDN/>
        <w:bidi w:val="0"/>
        <w:adjustRightInd/>
        <w:snapToGrid/>
        <w:spacing w:line="580" w:lineRule="exact"/>
        <w:ind w:firstLine="420" w:firstLineChars="200"/>
        <w:textAlignment w:val="auto"/>
        <w:rPr>
          <w:rFonts w:ascii="微软雅黑" w:eastAsia="微软雅黑" w:cs="微软雅黑"/>
          <w:color w:val="253DF3"/>
          <w:kern w:val="0"/>
          <w:sz w:val="10"/>
          <w:szCs w:val="10"/>
          <w:highlight w:val="none"/>
        </w:rPr>
      </w:pPr>
      <w:r>
        <w:rPr>
          <w:rFonts w:hint="eastAsia"/>
          <w:color w:val="253DF3"/>
          <w:szCs w:val="21"/>
          <w:highlight w:val="none"/>
          <w:lang w:val="en-US" w:eastAsia="zh-CN"/>
        </w:rPr>
        <w:t>拟建山窝220千伏变电站一座位于重庆市涪陵白涛工业园区官桥村,占地面积约18亩。新建240MVA主变2台，220kV出线间隔10个，110kV出线间隔8个，10kV出线间隔24个。</w:t>
      </w:r>
    </w:p>
    <w:p w14:paraId="7CF734BC">
      <w:pPr>
        <w:pStyle w:val="5"/>
        <w:rPr>
          <w:rFonts w:hint="eastAsia"/>
          <w:b/>
          <w:bCs/>
          <w:color w:val="auto"/>
          <w:szCs w:val="28"/>
          <w:highlight w:val="none"/>
        </w:rPr>
      </w:pPr>
      <w:bookmarkStart w:id="544" w:name="_Toc11088"/>
      <w:bookmarkStart w:id="545" w:name="_Toc3362"/>
      <w:bookmarkStart w:id="546" w:name="_Toc18697"/>
      <w:bookmarkStart w:id="547" w:name="_Toc21528"/>
      <w:r>
        <w:rPr>
          <w:rFonts w:hint="eastAsia"/>
          <w:b/>
          <w:bCs/>
          <w:color w:val="auto"/>
          <w:szCs w:val="28"/>
          <w:highlight w:val="none"/>
        </w:rPr>
        <w:t>二、设备</w:t>
      </w:r>
      <w:r>
        <w:rPr>
          <w:rFonts w:hint="eastAsia"/>
          <w:b/>
          <w:bCs/>
          <w:color w:val="auto"/>
          <w:szCs w:val="28"/>
          <w:highlight w:val="none"/>
          <w:lang w:eastAsia="zh-CN"/>
        </w:rPr>
        <w:t>（</w:t>
      </w:r>
      <w:r>
        <w:rPr>
          <w:rFonts w:hint="eastAsia"/>
          <w:b/>
          <w:bCs/>
          <w:color w:val="auto"/>
          <w:szCs w:val="28"/>
          <w:highlight w:val="none"/>
          <w:lang w:val="en-US" w:eastAsia="zh-CN"/>
        </w:rPr>
        <w:t>材料</w:t>
      </w:r>
      <w:r>
        <w:rPr>
          <w:rFonts w:hint="eastAsia"/>
          <w:b/>
          <w:bCs/>
          <w:color w:val="auto"/>
          <w:szCs w:val="28"/>
          <w:highlight w:val="none"/>
          <w:lang w:eastAsia="zh-CN"/>
        </w:rPr>
        <w:t>）</w:t>
      </w:r>
      <w:r>
        <w:rPr>
          <w:rFonts w:hint="eastAsia"/>
          <w:b/>
          <w:bCs/>
          <w:color w:val="auto"/>
          <w:szCs w:val="28"/>
          <w:highlight w:val="none"/>
        </w:rPr>
        <w:t>需求一览表</w:t>
      </w:r>
      <w:bookmarkEnd w:id="544"/>
      <w:bookmarkEnd w:id="545"/>
      <w:bookmarkEnd w:id="546"/>
      <w:bookmarkEnd w:id="547"/>
    </w:p>
    <w:tbl>
      <w:tblPr>
        <w:tblStyle w:val="40"/>
        <w:tblW w:w="10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522"/>
        <w:gridCol w:w="5216"/>
        <w:gridCol w:w="689"/>
        <w:gridCol w:w="689"/>
        <w:gridCol w:w="1303"/>
      </w:tblGrid>
      <w:tr w14:paraId="4A88A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8" w:type="dxa"/>
            <w:noWrap w:val="0"/>
            <w:vAlign w:val="center"/>
          </w:tcPr>
          <w:p w14:paraId="79693445">
            <w:pPr>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序号</w:t>
            </w:r>
          </w:p>
        </w:tc>
        <w:tc>
          <w:tcPr>
            <w:tcW w:w="1522" w:type="dxa"/>
            <w:noWrap w:val="0"/>
            <w:vAlign w:val="center"/>
          </w:tcPr>
          <w:p w14:paraId="697087F1">
            <w:pPr>
              <w:jc w:val="center"/>
              <w:rPr>
                <w:rFonts w:hint="default" w:eastAsia="宋体"/>
                <w:color w:val="auto"/>
                <w:sz w:val="18"/>
                <w:szCs w:val="18"/>
                <w:highlight w:val="none"/>
                <w:lang w:val="en-US" w:eastAsia="zh-CN"/>
              </w:rPr>
            </w:pPr>
            <w:r>
              <w:rPr>
                <w:rFonts w:hint="eastAsia"/>
                <w:color w:val="auto"/>
                <w:sz w:val="18"/>
                <w:szCs w:val="18"/>
                <w:highlight w:val="none"/>
                <w:lang w:val="en-US" w:eastAsia="zh-CN"/>
              </w:rPr>
              <w:t>货物名称</w:t>
            </w:r>
          </w:p>
        </w:tc>
        <w:tc>
          <w:tcPr>
            <w:tcW w:w="5216" w:type="dxa"/>
            <w:noWrap w:val="0"/>
            <w:vAlign w:val="center"/>
          </w:tcPr>
          <w:p w14:paraId="7C4ADA40">
            <w:pPr>
              <w:jc w:val="center"/>
              <w:rPr>
                <w:rFonts w:hint="default" w:hAnsi="宋体" w:eastAsia="宋体"/>
                <w:snapToGrid w:val="0"/>
                <w:color w:val="auto"/>
                <w:sz w:val="18"/>
                <w:szCs w:val="18"/>
                <w:highlight w:val="none"/>
                <w:lang w:val="en-US" w:eastAsia="zh-CN"/>
              </w:rPr>
            </w:pPr>
            <w:r>
              <w:rPr>
                <w:rFonts w:hint="eastAsia" w:hAnsi="宋体"/>
                <w:snapToGrid w:val="0"/>
                <w:color w:val="auto"/>
                <w:sz w:val="18"/>
                <w:szCs w:val="18"/>
                <w:highlight w:val="none"/>
                <w:lang w:val="en-US" w:eastAsia="zh-CN"/>
              </w:rPr>
              <w:t>规格型号及技术参数</w:t>
            </w:r>
          </w:p>
        </w:tc>
        <w:tc>
          <w:tcPr>
            <w:tcW w:w="689" w:type="dxa"/>
            <w:noWrap w:val="0"/>
            <w:vAlign w:val="center"/>
          </w:tcPr>
          <w:p w14:paraId="67AE2B08">
            <w:pPr>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单位</w:t>
            </w:r>
          </w:p>
        </w:tc>
        <w:tc>
          <w:tcPr>
            <w:tcW w:w="689" w:type="dxa"/>
            <w:noWrap w:val="0"/>
            <w:vAlign w:val="center"/>
          </w:tcPr>
          <w:p w14:paraId="03458EAD">
            <w:pPr>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数量</w:t>
            </w:r>
          </w:p>
        </w:tc>
        <w:tc>
          <w:tcPr>
            <w:tcW w:w="1303" w:type="dxa"/>
            <w:noWrap w:val="0"/>
            <w:vAlign w:val="center"/>
          </w:tcPr>
          <w:p w14:paraId="2E2E41BB">
            <w:pPr>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备注</w:t>
            </w:r>
          </w:p>
        </w:tc>
      </w:tr>
      <w:tr w14:paraId="209B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8" w:type="dxa"/>
            <w:noWrap w:val="0"/>
            <w:vAlign w:val="center"/>
          </w:tcPr>
          <w:p w14:paraId="050373B8">
            <w:pPr>
              <w:jc w:val="center"/>
              <w:rPr>
                <w:rFonts w:hint="eastAsia" w:ascii="Times New Roman" w:hAnsi="Times New Roman"/>
                <w:color w:val="auto"/>
                <w:kern w:val="0"/>
                <w:sz w:val="16"/>
                <w:szCs w:val="16"/>
                <w:highlight w:val="none"/>
                <w:lang w:val="en-US" w:eastAsia="zh-CN" w:bidi="ar"/>
              </w:rPr>
            </w:pPr>
            <w:r>
              <w:rPr>
                <w:color w:val="auto"/>
                <w:sz w:val="18"/>
                <w:szCs w:val="18"/>
                <w:highlight w:val="none"/>
              </w:rPr>
              <w:t>1</w:t>
            </w:r>
          </w:p>
        </w:tc>
        <w:tc>
          <w:tcPr>
            <w:tcW w:w="1522" w:type="dxa"/>
            <w:noWrap w:val="0"/>
            <w:vAlign w:val="center"/>
          </w:tcPr>
          <w:p w14:paraId="4A6A3E32">
            <w:pPr>
              <w:jc w:val="center"/>
              <w:rPr>
                <w:rFonts w:hint="eastAsia"/>
                <w:color w:val="auto"/>
                <w:sz w:val="18"/>
                <w:szCs w:val="18"/>
                <w:highlight w:val="none"/>
              </w:rPr>
            </w:pPr>
            <w:r>
              <w:rPr>
                <w:color w:val="auto"/>
                <w:sz w:val="18"/>
                <w:szCs w:val="18"/>
                <w:highlight w:val="none"/>
              </w:rPr>
              <w:t>框架式并联电容器成套装置</w:t>
            </w:r>
          </w:p>
        </w:tc>
        <w:tc>
          <w:tcPr>
            <w:tcW w:w="5216" w:type="dxa"/>
            <w:noWrap w:val="0"/>
            <w:vAlign w:val="center"/>
          </w:tcPr>
          <w:p w14:paraId="4E75AF45">
            <w:pPr>
              <w:jc w:val="left"/>
              <w:rPr>
                <w:snapToGrid w:val="0"/>
                <w:color w:val="auto"/>
                <w:sz w:val="18"/>
                <w:szCs w:val="18"/>
                <w:highlight w:val="none"/>
              </w:rPr>
            </w:pPr>
            <w:r>
              <w:rPr>
                <w:color w:val="auto"/>
                <w:sz w:val="18"/>
                <w:szCs w:val="18"/>
                <w:highlight w:val="none"/>
              </w:rPr>
              <w:t>成套装置</w:t>
            </w:r>
            <w:r>
              <w:rPr>
                <w:rFonts w:hAnsi="宋体"/>
                <w:snapToGrid w:val="0"/>
                <w:color w:val="auto"/>
                <w:sz w:val="18"/>
                <w:szCs w:val="18"/>
                <w:highlight w:val="none"/>
              </w:rPr>
              <w:t>包括：</w:t>
            </w:r>
          </w:p>
          <w:p w14:paraId="5C4CE90C">
            <w:pPr>
              <w:jc w:val="left"/>
              <w:rPr>
                <w:rFonts w:hAnsi="宋体"/>
                <w:snapToGrid w:val="0"/>
                <w:color w:val="auto"/>
                <w:sz w:val="18"/>
                <w:szCs w:val="18"/>
                <w:highlight w:val="none"/>
              </w:rPr>
            </w:pPr>
            <w:r>
              <w:rPr>
                <w:rFonts w:hint="eastAsia" w:hAnsi="宋体"/>
                <w:snapToGrid w:val="0"/>
                <w:color w:val="auto"/>
                <w:sz w:val="18"/>
                <w:szCs w:val="18"/>
                <w:highlight w:val="none"/>
              </w:rPr>
              <w:t>隔离开关</w:t>
            </w:r>
            <w:r>
              <w:rPr>
                <w:rFonts w:hAnsi="宋体"/>
                <w:snapToGrid w:val="0"/>
                <w:color w:val="auto"/>
                <w:sz w:val="18"/>
                <w:szCs w:val="18"/>
                <w:highlight w:val="none"/>
              </w:rPr>
              <w:t>：</w:t>
            </w:r>
            <w:r>
              <w:rPr>
                <w:rFonts w:hint="eastAsia" w:hAnsi="宋体"/>
                <w:snapToGrid w:val="0"/>
                <w:color w:val="auto"/>
                <w:sz w:val="18"/>
                <w:szCs w:val="18"/>
                <w:highlight w:val="none"/>
              </w:rPr>
              <w:t xml:space="preserve">          GW4-12DW/1250A，四极联动，1组</w:t>
            </w:r>
          </w:p>
          <w:p w14:paraId="10B5434E">
            <w:pPr>
              <w:jc w:val="left"/>
              <w:rPr>
                <w:rFonts w:hint="eastAsia" w:hAnsi="宋体"/>
                <w:snapToGrid w:val="0"/>
                <w:color w:val="auto"/>
                <w:sz w:val="18"/>
                <w:szCs w:val="18"/>
                <w:highlight w:val="none"/>
              </w:rPr>
            </w:pPr>
            <w:r>
              <w:rPr>
                <w:rFonts w:hint="eastAsia" w:hAnsi="宋体"/>
                <w:snapToGrid w:val="0"/>
                <w:color w:val="auto"/>
                <w:sz w:val="18"/>
                <w:szCs w:val="18"/>
                <w:highlight w:val="none"/>
              </w:rPr>
              <w:t>干式空心串联电抗器：CKDK-10-13.6/0.32-5，</w:t>
            </w:r>
            <w:r>
              <w:rPr>
                <w:rFonts w:hAnsi="宋体"/>
                <w:snapToGrid w:val="0"/>
                <w:color w:val="auto"/>
                <w:sz w:val="18"/>
                <w:szCs w:val="18"/>
                <w:highlight w:val="none"/>
              </w:rPr>
              <w:t>Uk=</w:t>
            </w:r>
            <w:r>
              <w:rPr>
                <w:rFonts w:hint="eastAsia" w:hAnsi="宋体"/>
                <w:snapToGrid w:val="0"/>
                <w:color w:val="auto"/>
                <w:sz w:val="18"/>
                <w:szCs w:val="18"/>
                <w:highlight w:val="none"/>
              </w:rPr>
              <w:t>5</w:t>
            </w:r>
            <w:r>
              <w:rPr>
                <w:rFonts w:hAnsi="宋体"/>
                <w:snapToGrid w:val="0"/>
                <w:color w:val="auto"/>
                <w:sz w:val="18"/>
                <w:szCs w:val="18"/>
                <w:highlight w:val="none"/>
              </w:rPr>
              <w:t>%</w:t>
            </w:r>
            <w:r>
              <w:rPr>
                <w:rFonts w:hint="eastAsia" w:hAnsi="宋体"/>
                <w:snapToGrid w:val="0"/>
                <w:color w:val="auto"/>
                <w:sz w:val="18"/>
                <w:szCs w:val="18"/>
                <w:highlight w:val="none"/>
              </w:rPr>
              <w:t>，1台</w:t>
            </w:r>
          </w:p>
          <w:p w14:paraId="14629077">
            <w:pPr>
              <w:jc w:val="left"/>
              <w:rPr>
                <w:rFonts w:hint="eastAsia" w:hAnsi="宋体"/>
                <w:snapToGrid w:val="0"/>
                <w:color w:val="auto"/>
                <w:sz w:val="18"/>
                <w:szCs w:val="18"/>
                <w:highlight w:val="none"/>
              </w:rPr>
            </w:pPr>
            <w:r>
              <w:rPr>
                <w:rFonts w:hint="eastAsia" w:hAnsi="宋体"/>
                <w:snapToGrid w:val="0"/>
                <w:color w:val="auto"/>
                <w:sz w:val="18"/>
                <w:szCs w:val="18"/>
                <w:highlight w:val="none"/>
              </w:rPr>
              <w:t xml:space="preserve">氧化锌避雷器：      </w:t>
            </w:r>
            <w:r>
              <w:rPr>
                <w:rFonts w:hAnsi="宋体"/>
                <w:snapToGrid w:val="0"/>
                <w:color w:val="auto"/>
                <w:sz w:val="18"/>
                <w:szCs w:val="18"/>
                <w:highlight w:val="none"/>
              </w:rPr>
              <w:t>YH5WR-17/4</w:t>
            </w:r>
            <w:r>
              <w:rPr>
                <w:rFonts w:hint="eastAsia" w:hAnsi="宋体"/>
                <w:snapToGrid w:val="0"/>
                <w:color w:val="auto"/>
                <w:sz w:val="18"/>
                <w:szCs w:val="18"/>
                <w:highlight w:val="none"/>
              </w:rPr>
              <w:t>6</w:t>
            </w:r>
            <w:r>
              <w:rPr>
                <w:rFonts w:hAnsi="宋体"/>
                <w:snapToGrid w:val="0"/>
                <w:color w:val="auto"/>
                <w:sz w:val="18"/>
                <w:szCs w:val="18"/>
                <w:highlight w:val="none"/>
              </w:rPr>
              <w:t xml:space="preserve"> </w:t>
            </w:r>
            <w:r>
              <w:rPr>
                <w:rFonts w:hint="eastAsia" w:hAnsi="宋体"/>
                <w:snapToGrid w:val="0"/>
                <w:color w:val="auto"/>
                <w:sz w:val="18"/>
                <w:szCs w:val="18"/>
                <w:highlight w:val="none"/>
              </w:rPr>
              <w:t>，附放电计数器，</w:t>
            </w:r>
            <w:r>
              <w:rPr>
                <w:rFonts w:hAnsi="宋体"/>
                <w:snapToGrid w:val="0"/>
                <w:color w:val="auto"/>
                <w:sz w:val="18"/>
                <w:szCs w:val="18"/>
                <w:highlight w:val="none"/>
              </w:rPr>
              <w:t>3只</w:t>
            </w:r>
          </w:p>
          <w:p w14:paraId="3CFA9EA7">
            <w:pPr>
              <w:jc w:val="left"/>
              <w:rPr>
                <w:rFonts w:hAnsi="宋体"/>
                <w:snapToGrid w:val="0"/>
                <w:color w:val="auto"/>
                <w:sz w:val="18"/>
                <w:szCs w:val="18"/>
                <w:highlight w:val="none"/>
              </w:rPr>
            </w:pPr>
            <w:r>
              <w:rPr>
                <w:rFonts w:hAnsi="宋体"/>
                <w:snapToGrid w:val="0"/>
                <w:color w:val="auto"/>
                <w:sz w:val="18"/>
                <w:szCs w:val="18"/>
                <w:highlight w:val="none"/>
              </w:rPr>
              <w:t>放电线圈：</w:t>
            </w:r>
            <w:r>
              <w:rPr>
                <w:rFonts w:hint="eastAsia" w:hAnsi="宋体"/>
                <w:snapToGrid w:val="0"/>
                <w:color w:val="auto"/>
                <w:sz w:val="18"/>
                <w:szCs w:val="18"/>
                <w:highlight w:val="none"/>
              </w:rPr>
              <w:t xml:space="preserve">          FDE（11/2</w:t>
            </w:r>
            <w:r>
              <w:rPr>
                <w:rFonts w:hAnsi="宋体"/>
                <w:snapToGrid w:val="0"/>
                <w:color w:val="auto"/>
                <w:sz w:val="18"/>
                <w:szCs w:val="18"/>
                <w:highlight w:val="none"/>
              </w:rPr>
              <w:object>
                <v:shape id="_x0000_i1025" o:spt="75" type="#_x0000_t75" style="height:13.95pt;width:15pt;" o:ole="t" filled="f" o:preferrelative="t" stroked="f" coordsize="21600,21600">
                  <v:path/>
                  <v:fill on="f" focussize="0,0"/>
                  <v:stroke on="f"/>
                  <v:imagedata r:id="rId15" o:title=""/>
                  <o:lock v:ext="edit" grouping="f" rotation="f" text="f" aspectratio="t"/>
                  <w10:wrap type="none"/>
                  <w10:anchorlock/>
                </v:shape>
                <o:OLEObject Type="Embed" ProgID="Equation.DSMT4" ShapeID="_x0000_i1025" DrawAspect="Content" ObjectID="_1468075725" r:id="rId14">
                  <o:LockedField>false</o:LockedField>
                </o:OLEObject>
              </w:object>
            </w:r>
            <w:r>
              <w:rPr>
                <w:rFonts w:hint="eastAsia" w:hAnsi="宋体"/>
                <w:snapToGrid w:val="0"/>
                <w:color w:val="auto"/>
                <w:sz w:val="18"/>
                <w:szCs w:val="18"/>
                <w:highlight w:val="none"/>
              </w:rPr>
              <w:t>+11/2</w:t>
            </w:r>
            <w:r>
              <w:rPr>
                <w:rFonts w:hAnsi="宋体"/>
                <w:snapToGrid w:val="0"/>
                <w:color w:val="auto"/>
                <w:sz w:val="18"/>
                <w:szCs w:val="18"/>
                <w:highlight w:val="none"/>
              </w:rPr>
              <w:object>
                <v:shape id="_x0000_i1026" o:spt="75" type="#_x0000_t75" style="height:13.95pt;width:15pt;" o:ole="t" filled="f" o:preferrelative="t" stroked="f" coordsize="21600,21600">
                  <v:path/>
                  <v:fill on="f" focussize="0,0"/>
                  <v:stroke on="f"/>
                  <v:imagedata r:id="rId15" o:title=""/>
                  <o:lock v:ext="edit" grouping="f" rotation="f" text="f" aspectratio="t"/>
                  <w10:wrap type="none"/>
                  <w10:anchorlock/>
                </v:shape>
                <o:OLEObject Type="Embed" ProgID="Equation.DSMT4" ShapeID="_x0000_i1026" DrawAspect="Content" ObjectID="_1468075726" r:id="rId16">
                  <o:LockedField>false</o:LockedField>
                </o:OLEObject>
              </w:object>
            </w:r>
            <w:r>
              <w:rPr>
                <w:rFonts w:hint="eastAsia" w:hAnsi="宋体"/>
                <w:snapToGrid w:val="0"/>
                <w:color w:val="auto"/>
                <w:sz w:val="18"/>
                <w:szCs w:val="18"/>
                <w:highlight w:val="none"/>
              </w:rPr>
              <w:t>）-3.4-1W，</w:t>
            </w:r>
            <w:r>
              <w:rPr>
                <w:rFonts w:hAnsi="宋体"/>
                <w:snapToGrid w:val="0"/>
                <w:color w:val="auto"/>
                <w:sz w:val="18"/>
                <w:szCs w:val="18"/>
                <w:highlight w:val="none"/>
              </w:rPr>
              <w:t>3台</w:t>
            </w:r>
          </w:p>
          <w:p w14:paraId="59248DB3">
            <w:pPr>
              <w:jc w:val="left"/>
              <w:rPr>
                <w:rFonts w:hint="eastAsia"/>
                <w:color w:val="auto"/>
                <w:sz w:val="18"/>
                <w:szCs w:val="18"/>
                <w:highlight w:val="none"/>
              </w:rPr>
            </w:pPr>
            <w:r>
              <w:rPr>
                <w:rFonts w:hint="eastAsia" w:hAnsi="宋体"/>
                <w:snapToGrid w:val="0"/>
                <w:color w:val="auto"/>
                <w:sz w:val="18"/>
                <w:szCs w:val="18"/>
                <w:highlight w:val="none"/>
              </w:rPr>
              <w:t>并联电容器：        BAM11/</w:t>
            </w:r>
            <w:r>
              <w:rPr>
                <w:rFonts w:hAnsi="宋体"/>
                <w:snapToGrid w:val="0"/>
                <w:color w:val="auto"/>
                <w:sz w:val="18"/>
                <w:szCs w:val="18"/>
                <w:highlight w:val="none"/>
              </w:rPr>
              <w:object>
                <v:shape id="_x0000_i1027" o:spt="75" type="#_x0000_t75" style="height:13.95pt;width:15pt;" o:ole="t" filled="f" o:preferrelative="t" stroked="f" coordsize="21600,21600">
                  <v:path/>
                  <v:fill on="f" focussize="0,0"/>
                  <v:stroke on="f"/>
                  <v:imagedata r:id="rId15" o:title=""/>
                  <o:lock v:ext="edit" grouping="f" rotation="f" text="f" aspectratio="t"/>
                  <w10:wrap type="none"/>
                  <w10:anchorlock/>
                </v:shape>
                <o:OLEObject Type="Embed" ProgID="Equation.DSMT4" ShapeID="_x0000_i1027" DrawAspect="Content" ObjectID="_1468075727" r:id="rId17">
                  <o:LockedField>false</o:LockedField>
                </o:OLEObject>
              </w:object>
            </w:r>
            <w:r>
              <w:rPr>
                <w:rFonts w:hint="eastAsia" w:hAnsi="宋体"/>
                <w:snapToGrid w:val="0"/>
                <w:color w:val="auto"/>
                <w:sz w:val="18"/>
                <w:szCs w:val="18"/>
                <w:highlight w:val="none"/>
              </w:rPr>
              <w:t>-334-1W，24台</w:t>
            </w:r>
          </w:p>
        </w:tc>
        <w:tc>
          <w:tcPr>
            <w:tcW w:w="689" w:type="dxa"/>
            <w:noWrap w:val="0"/>
            <w:vAlign w:val="center"/>
          </w:tcPr>
          <w:p w14:paraId="6149743F">
            <w:pPr>
              <w:jc w:val="center"/>
              <w:rPr>
                <w:rFonts w:hint="eastAsia"/>
                <w:color w:val="auto"/>
                <w:sz w:val="18"/>
                <w:szCs w:val="18"/>
                <w:highlight w:val="none"/>
              </w:rPr>
            </w:pPr>
            <w:r>
              <w:rPr>
                <w:rFonts w:hint="eastAsia"/>
                <w:color w:val="auto"/>
                <w:sz w:val="18"/>
                <w:szCs w:val="18"/>
                <w:highlight w:val="none"/>
              </w:rPr>
              <w:t>组</w:t>
            </w:r>
          </w:p>
        </w:tc>
        <w:tc>
          <w:tcPr>
            <w:tcW w:w="689" w:type="dxa"/>
            <w:noWrap w:val="0"/>
            <w:vAlign w:val="center"/>
          </w:tcPr>
          <w:p w14:paraId="472125C4">
            <w:pPr>
              <w:jc w:val="center"/>
              <w:rPr>
                <w:rFonts w:hint="eastAsia"/>
                <w:color w:val="auto"/>
                <w:sz w:val="18"/>
                <w:szCs w:val="18"/>
                <w:highlight w:val="none"/>
              </w:rPr>
            </w:pPr>
            <w:r>
              <w:rPr>
                <w:rFonts w:hint="eastAsia"/>
                <w:color w:val="auto"/>
                <w:sz w:val="18"/>
                <w:szCs w:val="18"/>
                <w:highlight w:val="none"/>
              </w:rPr>
              <w:t>6</w:t>
            </w:r>
          </w:p>
        </w:tc>
        <w:tc>
          <w:tcPr>
            <w:tcW w:w="1303" w:type="dxa"/>
            <w:noWrap w:val="0"/>
            <w:vAlign w:val="center"/>
          </w:tcPr>
          <w:p w14:paraId="7F67FF46">
            <w:pPr>
              <w:jc w:val="center"/>
              <w:rPr>
                <w:rStyle w:val="100"/>
                <w:rFonts w:hint="default"/>
                <w:color w:val="auto"/>
                <w:kern w:val="0"/>
                <w:sz w:val="16"/>
                <w:szCs w:val="16"/>
                <w:highlight w:val="none"/>
                <w:lang w:bidi="ar"/>
              </w:rPr>
            </w:pPr>
            <w:r>
              <w:rPr>
                <w:color w:val="auto"/>
                <w:sz w:val="18"/>
                <w:szCs w:val="18"/>
                <w:highlight w:val="none"/>
              </w:rPr>
              <w:t>单组容量</w:t>
            </w:r>
            <w:r>
              <w:rPr>
                <w:rFonts w:hint="eastAsia"/>
                <w:color w:val="auto"/>
                <w:sz w:val="18"/>
                <w:szCs w:val="18"/>
                <w:highlight w:val="none"/>
              </w:rPr>
              <w:t>8016</w:t>
            </w:r>
            <w:r>
              <w:rPr>
                <w:color w:val="auto"/>
                <w:sz w:val="18"/>
                <w:szCs w:val="18"/>
                <w:highlight w:val="none"/>
              </w:rPr>
              <w:t>kvar</w:t>
            </w:r>
          </w:p>
        </w:tc>
      </w:tr>
      <w:tr w14:paraId="3F5E4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8" w:type="dxa"/>
            <w:noWrap w:val="0"/>
            <w:vAlign w:val="center"/>
          </w:tcPr>
          <w:p w14:paraId="24C8FF5F">
            <w:pPr>
              <w:jc w:val="center"/>
              <w:rPr>
                <w:rFonts w:hint="eastAsia" w:ascii="Times New Roman" w:hAnsi="Times New Roman"/>
                <w:color w:val="auto"/>
                <w:kern w:val="0"/>
                <w:sz w:val="16"/>
                <w:szCs w:val="16"/>
                <w:highlight w:val="none"/>
                <w:lang w:val="en-US" w:eastAsia="zh-CN" w:bidi="ar"/>
              </w:rPr>
            </w:pPr>
            <w:r>
              <w:rPr>
                <w:rFonts w:hint="eastAsia"/>
                <w:color w:val="auto"/>
                <w:sz w:val="18"/>
                <w:szCs w:val="18"/>
                <w:highlight w:val="none"/>
              </w:rPr>
              <w:t>2</w:t>
            </w:r>
          </w:p>
        </w:tc>
        <w:tc>
          <w:tcPr>
            <w:tcW w:w="1522" w:type="dxa"/>
            <w:noWrap w:val="0"/>
            <w:vAlign w:val="center"/>
          </w:tcPr>
          <w:p w14:paraId="4A009F6A">
            <w:pPr>
              <w:jc w:val="center"/>
              <w:rPr>
                <w:rFonts w:hint="eastAsia"/>
                <w:color w:val="auto"/>
                <w:sz w:val="18"/>
                <w:szCs w:val="18"/>
                <w:highlight w:val="none"/>
              </w:rPr>
            </w:pPr>
            <w:r>
              <w:rPr>
                <w:color w:val="auto"/>
                <w:sz w:val="18"/>
                <w:szCs w:val="18"/>
                <w:highlight w:val="none"/>
              </w:rPr>
              <w:t>框架式并联电容器成套装置</w:t>
            </w:r>
          </w:p>
        </w:tc>
        <w:tc>
          <w:tcPr>
            <w:tcW w:w="5216" w:type="dxa"/>
            <w:noWrap w:val="0"/>
            <w:vAlign w:val="center"/>
          </w:tcPr>
          <w:p w14:paraId="3A4EB1D7">
            <w:pPr>
              <w:jc w:val="left"/>
              <w:rPr>
                <w:rFonts w:hAnsi="宋体"/>
                <w:snapToGrid w:val="0"/>
                <w:color w:val="auto"/>
                <w:sz w:val="18"/>
                <w:szCs w:val="18"/>
                <w:highlight w:val="none"/>
              </w:rPr>
            </w:pPr>
            <w:r>
              <w:rPr>
                <w:rFonts w:hAnsi="宋体"/>
                <w:snapToGrid w:val="0"/>
                <w:color w:val="auto"/>
                <w:sz w:val="18"/>
                <w:szCs w:val="18"/>
                <w:highlight w:val="none"/>
              </w:rPr>
              <w:t>成套装置包括：</w:t>
            </w:r>
          </w:p>
          <w:p w14:paraId="7F3B1B8B">
            <w:pPr>
              <w:jc w:val="left"/>
              <w:rPr>
                <w:rFonts w:hAnsi="宋体"/>
                <w:snapToGrid w:val="0"/>
                <w:color w:val="auto"/>
                <w:sz w:val="18"/>
                <w:szCs w:val="18"/>
                <w:highlight w:val="none"/>
              </w:rPr>
            </w:pPr>
            <w:r>
              <w:rPr>
                <w:rFonts w:hint="eastAsia" w:hAnsi="宋体"/>
                <w:snapToGrid w:val="0"/>
                <w:color w:val="auto"/>
                <w:sz w:val="18"/>
                <w:szCs w:val="18"/>
                <w:highlight w:val="none"/>
              </w:rPr>
              <w:t>隔离开关</w:t>
            </w:r>
            <w:r>
              <w:rPr>
                <w:rFonts w:hAnsi="宋体"/>
                <w:snapToGrid w:val="0"/>
                <w:color w:val="auto"/>
                <w:sz w:val="18"/>
                <w:szCs w:val="18"/>
                <w:highlight w:val="none"/>
              </w:rPr>
              <w:t>：</w:t>
            </w:r>
            <w:r>
              <w:rPr>
                <w:rFonts w:hint="eastAsia" w:hAnsi="宋体"/>
                <w:snapToGrid w:val="0"/>
                <w:color w:val="auto"/>
                <w:sz w:val="18"/>
                <w:szCs w:val="18"/>
                <w:highlight w:val="none"/>
              </w:rPr>
              <w:t xml:space="preserve">          GW4-12DW/1250A，四极联动，1组</w:t>
            </w:r>
          </w:p>
          <w:p w14:paraId="11A2CAD4">
            <w:pPr>
              <w:jc w:val="left"/>
              <w:rPr>
                <w:rFonts w:hint="eastAsia" w:hAnsi="宋体"/>
                <w:snapToGrid w:val="0"/>
                <w:color w:val="auto"/>
                <w:sz w:val="18"/>
                <w:szCs w:val="18"/>
                <w:highlight w:val="none"/>
              </w:rPr>
            </w:pPr>
            <w:r>
              <w:rPr>
                <w:rFonts w:hint="eastAsia" w:hAnsi="宋体"/>
                <w:snapToGrid w:val="0"/>
                <w:color w:val="auto"/>
                <w:sz w:val="18"/>
                <w:szCs w:val="18"/>
                <w:highlight w:val="none"/>
              </w:rPr>
              <w:t>干式空芯限流电抗器：CKDK-10-320.64/0.83-12，</w:t>
            </w:r>
            <w:r>
              <w:rPr>
                <w:rFonts w:hAnsi="宋体"/>
                <w:snapToGrid w:val="0"/>
                <w:color w:val="auto"/>
                <w:sz w:val="18"/>
                <w:szCs w:val="18"/>
                <w:highlight w:val="none"/>
              </w:rPr>
              <w:t>Uk=</w:t>
            </w:r>
            <w:r>
              <w:rPr>
                <w:rFonts w:hint="eastAsia" w:hAnsi="宋体"/>
                <w:snapToGrid w:val="0"/>
                <w:color w:val="auto"/>
                <w:sz w:val="18"/>
                <w:szCs w:val="18"/>
                <w:highlight w:val="none"/>
              </w:rPr>
              <w:t>12</w:t>
            </w:r>
            <w:r>
              <w:rPr>
                <w:rFonts w:hAnsi="宋体"/>
                <w:snapToGrid w:val="0"/>
                <w:color w:val="auto"/>
                <w:sz w:val="18"/>
                <w:szCs w:val="18"/>
                <w:highlight w:val="none"/>
              </w:rPr>
              <w:t>%</w:t>
            </w:r>
            <w:r>
              <w:rPr>
                <w:rFonts w:hint="eastAsia" w:hAnsi="宋体"/>
                <w:snapToGrid w:val="0"/>
                <w:color w:val="auto"/>
                <w:sz w:val="18"/>
                <w:szCs w:val="18"/>
                <w:highlight w:val="none"/>
              </w:rPr>
              <w:t>，1台</w:t>
            </w:r>
          </w:p>
          <w:p w14:paraId="6058308E">
            <w:pPr>
              <w:jc w:val="left"/>
              <w:rPr>
                <w:rFonts w:hint="eastAsia" w:hAnsi="宋体"/>
                <w:snapToGrid w:val="0"/>
                <w:color w:val="auto"/>
                <w:sz w:val="18"/>
                <w:szCs w:val="18"/>
                <w:highlight w:val="none"/>
              </w:rPr>
            </w:pPr>
            <w:r>
              <w:rPr>
                <w:rFonts w:hint="eastAsia" w:hAnsi="宋体"/>
                <w:snapToGrid w:val="0"/>
                <w:color w:val="auto"/>
                <w:sz w:val="18"/>
                <w:szCs w:val="18"/>
                <w:highlight w:val="none"/>
              </w:rPr>
              <w:t xml:space="preserve">氧化锌避雷器：      </w:t>
            </w:r>
            <w:r>
              <w:rPr>
                <w:rFonts w:hAnsi="宋体"/>
                <w:snapToGrid w:val="0"/>
                <w:color w:val="auto"/>
                <w:sz w:val="18"/>
                <w:szCs w:val="18"/>
                <w:highlight w:val="none"/>
              </w:rPr>
              <w:t>YH5WR-17/4</w:t>
            </w:r>
            <w:r>
              <w:rPr>
                <w:rFonts w:hint="eastAsia" w:hAnsi="宋体"/>
                <w:snapToGrid w:val="0"/>
                <w:color w:val="auto"/>
                <w:sz w:val="18"/>
                <w:szCs w:val="18"/>
                <w:highlight w:val="none"/>
              </w:rPr>
              <w:t>6</w:t>
            </w:r>
            <w:r>
              <w:rPr>
                <w:rFonts w:hAnsi="宋体"/>
                <w:snapToGrid w:val="0"/>
                <w:color w:val="auto"/>
                <w:sz w:val="18"/>
                <w:szCs w:val="18"/>
                <w:highlight w:val="none"/>
              </w:rPr>
              <w:t xml:space="preserve"> </w:t>
            </w:r>
            <w:r>
              <w:rPr>
                <w:rFonts w:hint="eastAsia" w:hAnsi="宋体"/>
                <w:snapToGrid w:val="0"/>
                <w:color w:val="auto"/>
                <w:sz w:val="18"/>
                <w:szCs w:val="18"/>
                <w:highlight w:val="none"/>
              </w:rPr>
              <w:t>，附放电计数器，</w:t>
            </w:r>
            <w:r>
              <w:rPr>
                <w:rFonts w:hAnsi="宋体"/>
                <w:snapToGrid w:val="0"/>
                <w:color w:val="auto"/>
                <w:sz w:val="18"/>
                <w:szCs w:val="18"/>
                <w:highlight w:val="none"/>
              </w:rPr>
              <w:t>3只</w:t>
            </w:r>
          </w:p>
          <w:p w14:paraId="01C14F05">
            <w:pPr>
              <w:jc w:val="left"/>
              <w:rPr>
                <w:rFonts w:hAnsi="宋体"/>
                <w:snapToGrid w:val="0"/>
                <w:color w:val="auto"/>
                <w:sz w:val="18"/>
                <w:szCs w:val="18"/>
                <w:highlight w:val="none"/>
              </w:rPr>
            </w:pPr>
            <w:r>
              <w:rPr>
                <w:rFonts w:hAnsi="宋体"/>
                <w:snapToGrid w:val="0"/>
                <w:color w:val="auto"/>
                <w:sz w:val="18"/>
                <w:szCs w:val="18"/>
                <w:highlight w:val="none"/>
              </w:rPr>
              <w:t>放电线圈：</w:t>
            </w:r>
            <w:r>
              <w:rPr>
                <w:rFonts w:hint="eastAsia" w:hAnsi="宋体"/>
                <w:snapToGrid w:val="0"/>
                <w:color w:val="auto"/>
                <w:sz w:val="18"/>
                <w:szCs w:val="18"/>
                <w:highlight w:val="none"/>
              </w:rPr>
              <w:t xml:space="preserve">          FDE（12/2</w:t>
            </w:r>
            <w:r>
              <w:rPr>
                <w:rFonts w:hAnsi="宋体"/>
                <w:snapToGrid w:val="0"/>
                <w:color w:val="auto"/>
                <w:sz w:val="18"/>
                <w:szCs w:val="18"/>
                <w:highlight w:val="none"/>
              </w:rPr>
              <w:object>
                <v:shape id="_x0000_i1028" o:spt="75" type="#_x0000_t75" style="height:13.95pt;width:15pt;" o:ole="t" filled="f" o:preferrelative="t" stroked="f" coordsize="21600,21600">
                  <v:path/>
                  <v:fill on="f" focussize="0,0"/>
                  <v:stroke on="f"/>
                  <v:imagedata r:id="rId15" o:title=""/>
                  <o:lock v:ext="edit" grouping="f" rotation="f" text="f" aspectratio="t"/>
                  <w10:wrap type="none"/>
                  <w10:anchorlock/>
                </v:shape>
                <o:OLEObject Type="Embed" ProgID="Equation.DSMT4" ShapeID="_x0000_i1028" DrawAspect="Content" ObjectID="_1468075728" r:id="rId18">
                  <o:LockedField>false</o:LockedField>
                </o:OLEObject>
              </w:object>
            </w:r>
            <w:r>
              <w:rPr>
                <w:rFonts w:hint="eastAsia" w:hAnsi="宋体"/>
                <w:snapToGrid w:val="0"/>
                <w:color w:val="auto"/>
                <w:sz w:val="18"/>
                <w:szCs w:val="18"/>
                <w:highlight w:val="none"/>
              </w:rPr>
              <w:t>+12/2</w:t>
            </w:r>
            <w:r>
              <w:rPr>
                <w:rFonts w:hAnsi="宋体"/>
                <w:snapToGrid w:val="0"/>
                <w:color w:val="auto"/>
                <w:sz w:val="18"/>
                <w:szCs w:val="18"/>
                <w:highlight w:val="none"/>
              </w:rPr>
              <w:object>
                <v:shape id="_x0000_i1029" o:spt="75" type="#_x0000_t75" style="height:13.95pt;width:15pt;" o:ole="t" filled="f" o:preferrelative="t" stroked="f" coordsize="21600,21600">
                  <v:path/>
                  <v:fill on="f" focussize="0,0"/>
                  <v:stroke on="f"/>
                  <v:imagedata r:id="rId15" o:title=""/>
                  <o:lock v:ext="edit" grouping="f" rotation="f" text="f" aspectratio="t"/>
                  <w10:wrap type="none"/>
                  <w10:anchorlock/>
                </v:shape>
                <o:OLEObject Type="Embed" ProgID="Equation.DSMT4" ShapeID="_x0000_i1029" DrawAspect="Content" ObjectID="_1468075729" r:id="rId19">
                  <o:LockedField>false</o:LockedField>
                </o:OLEObject>
              </w:object>
            </w:r>
            <w:r>
              <w:rPr>
                <w:rFonts w:hint="eastAsia" w:hAnsi="宋体"/>
                <w:snapToGrid w:val="0"/>
                <w:color w:val="auto"/>
                <w:sz w:val="18"/>
                <w:szCs w:val="18"/>
                <w:highlight w:val="none"/>
              </w:rPr>
              <w:t>）-3.4-1W，</w:t>
            </w:r>
            <w:r>
              <w:rPr>
                <w:rFonts w:hAnsi="宋体"/>
                <w:snapToGrid w:val="0"/>
                <w:color w:val="auto"/>
                <w:sz w:val="18"/>
                <w:szCs w:val="18"/>
                <w:highlight w:val="none"/>
              </w:rPr>
              <w:t>3台</w:t>
            </w:r>
          </w:p>
          <w:p w14:paraId="03B424E6">
            <w:pPr>
              <w:jc w:val="left"/>
              <w:rPr>
                <w:rFonts w:hint="eastAsia"/>
                <w:color w:val="auto"/>
                <w:sz w:val="18"/>
                <w:szCs w:val="18"/>
                <w:highlight w:val="none"/>
              </w:rPr>
            </w:pPr>
            <w:r>
              <w:rPr>
                <w:rFonts w:hint="eastAsia" w:hAnsi="宋体"/>
                <w:snapToGrid w:val="0"/>
                <w:color w:val="auto"/>
                <w:sz w:val="18"/>
                <w:szCs w:val="18"/>
                <w:highlight w:val="none"/>
              </w:rPr>
              <w:t>并联电容器：        BAM12/</w:t>
            </w:r>
            <w:r>
              <w:rPr>
                <w:rFonts w:hAnsi="宋体"/>
                <w:snapToGrid w:val="0"/>
                <w:color w:val="auto"/>
                <w:sz w:val="18"/>
                <w:szCs w:val="18"/>
                <w:highlight w:val="none"/>
              </w:rPr>
              <w:object>
                <v:shape id="_x0000_i1030" o:spt="75" type="#_x0000_t75" style="height:13.95pt;width:15pt;" o:ole="t" filled="f" o:preferrelative="t" stroked="f" coordsize="21600,21600">
                  <v:path/>
                  <v:fill on="f" focussize="0,0"/>
                  <v:stroke on="f"/>
                  <v:imagedata r:id="rId15" o:title=""/>
                  <o:lock v:ext="edit" grouping="f" rotation="f" text="f" aspectratio="t"/>
                  <w10:wrap type="none"/>
                  <w10:anchorlock/>
                </v:shape>
                <o:OLEObject Type="Embed" ProgID="Equation.DSMT4" ShapeID="_x0000_i1030" DrawAspect="Content" ObjectID="_1468075730" r:id="rId20">
                  <o:LockedField>false</o:LockedField>
                </o:OLEObject>
              </w:object>
            </w:r>
            <w:r>
              <w:rPr>
                <w:rFonts w:hint="eastAsia" w:hAnsi="宋体"/>
                <w:snapToGrid w:val="0"/>
                <w:color w:val="auto"/>
                <w:sz w:val="18"/>
                <w:szCs w:val="18"/>
                <w:highlight w:val="none"/>
              </w:rPr>
              <w:t>-334-1W，24台</w:t>
            </w:r>
          </w:p>
        </w:tc>
        <w:tc>
          <w:tcPr>
            <w:tcW w:w="689" w:type="dxa"/>
            <w:noWrap w:val="0"/>
            <w:vAlign w:val="center"/>
          </w:tcPr>
          <w:p w14:paraId="05A88ABE">
            <w:pPr>
              <w:jc w:val="center"/>
              <w:rPr>
                <w:rFonts w:hint="eastAsia"/>
                <w:color w:val="auto"/>
                <w:sz w:val="18"/>
                <w:szCs w:val="18"/>
                <w:highlight w:val="none"/>
              </w:rPr>
            </w:pPr>
            <w:r>
              <w:rPr>
                <w:rFonts w:hint="eastAsia"/>
                <w:color w:val="auto"/>
                <w:sz w:val="18"/>
                <w:szCs w:val="18"/>
                <w:highlight w:val="none"/>
              </w:rPr>
              <w:t>组</w:t>
            </w:r>
          </w:p>
        </w:tc>
        <w:tc>
          <w:tcPr>
            <w:tcW w:w="689" w:type="dxa"/>
            <w:noWrap w:val="0"/>
            <w:vAlign w:val="center"/>
          </w:tcPr>
          <w:p w14:paraId="499CD3C8">
            <w:pPr>
              <w:jc w:val="center"/>
              <w:rPr>
                <w:rFonts w:hint="eastAsia"/>
                <w:color w:val="auto"/>
                <w:sz w:val="18"/>
                <w:szCs w:val="18"/>
                <w:highlight w:val="none"/>
              </w:rPr>
            </w:pPr>
            <w:r>
              <w:rPr>
                <w:rFonts w:hint="eastAsia"/>
                <w:color w:val="auto"/>
                <w:sz w:val="18"/>
                <w:szCs w:val="18"/>
                <w:highlight w:val="none"/>
              </w:rPr>
              <w:t>2</w:t>
            </w:r>
          </w:p>
        </w:tc>
        <w:tc>
          <w:tcPr>
            <w:tcW w:w="1303" w:type="dxa"/>
            <w:noWrap w:val="0"/>
            <w:vAlign w:val="center"/>
          </w:tcPr>
          <w:p w14:paraId="26ED299F">
            <w:pPr>
              <w:jc w:val="center"/>
              <w:rPr>
                <w:rStyle w:val="100"/>
                <w:rFonts w:hint="default"/>
                <w:color w:val="auto"/>
                <w:kern w:val="0"/>
                <w:sz w:val="16"/>
                <w:szCs w:val="16"/>
                <w:highlight w:val="none"/>
                <w:lang w:bidi="ar"/>
              </w:rPr>
            </w:pPr>
            <w:r>
              <w:rPr>
                <w:color w:val="auto"/>
                <w:sz w:val="18"/>
                <w:szCs w:val="18"/>
                <w:highlight w:val="none"/>
              </w:rPr>
              <w:t>单组容量</w:t>
            </w:r>
            <w:r>
              <w:rPr>
                <w:rFonts w:hint="eastAsia"/>
                <w:color w:val="auto"/>
                <w:sz w:val="18"/>
                <w:szCs w:val="18"/>
                <w:highlight w:val="none"/>
              </w:rPr>
              <w:t>8016</w:t>
            </w:r>
            <w:r>
              <w:rPr>
                <w:color w:val="auto"/>
                <w:sz w:val="18"/>
                <w:szCs w:val="18"/>
                <w:highlight w:val="none"/>
              </w:rPr>
              <w:t>kvar</w:t>
            </w:r>
          </w:p>
        </w:tc>
      </w:tr>
    </w:tbl>
    <w:p w14:paraId="248A5E26">
      <w:pPr>
        <w:spacing w:line="264" w:lineRule="auto"/>
        <w:ind w:right="84" w:rightChars="40"/>
        <w:jc w:val="center"/>
        <w:outlineLvl w:val="0"/>
        <w:rPr>
          <w:rFonts w:hint="eastAsia" w:ascii="宋体" w:hAnsi="宋体"/>
          <w:b/>
          <w:sz w:val="32"/>
          <w:szCs w:val="32"/>
        </w:rPr>
      </w:pPr>
    </w:p>
    <w:p w14:paraId="351774FF">
      <w:pPr>
        <w:spacing w:line="264" w:lineRule="auto"/>
        <w:ind w:right="84" w:rightChars="40"/>
        <w:jc w:val="center"/>
        <w:outlineLvl w:val="0"/>
        <w:rPr>
          <w:rFonts w:hint="eastAsia" w:ascii="宋体" w:hAnsi="宋体"/>
          <w:b/>
          <w:sz w:val="32"/>
          <w:szCs w:val="32"/>
        </w:rPr>
      </w:pPr>
    </w:p>
    <w:p w14:paraId="6E900185">
      <w:pPr>
        <w:spacing w:line="264" w:lineRule="auto"/>
        <w:ind w:right="84" w:rightChars="40"/>
        <w:jc w:val="center"/>
        <w:outlineLvl w:val="0"/>
        <w:rPr>
          <w:rFonts w:hint="eastAsia" w:ascii="宋体" w:hAnsi="宋体"/>
          <w:b/>
          <w:sz w:val="32"/>
          <w:szCs w:val="32"/>
        </w:rPr>
      </w:pPr>
    </w:p>
    <w:p w14:paraId="3DECA5C9">
      <w:pPr>
        <w:spacing w:line="264" w:lineRule="auto"/>
        <w:ind w:right="84" w:rightChars="40"/>
        <w:jc w:val="center"/>
        <w:outlineLvl w:val="0"/>
        <w:rPr>
          <w:rFonts w:hint="eastAsia" w:ascii="宋体" w:hAnsi="宋体"/>
          <w:b/>
          <w:sz w:val="32"/>
          <w:szCs w:val="32"/>
        </w:rPr>
      </w:pPr>
    </w:p>
    <w:p w14:paraId="6C3A7A67">
      <w:pPr>
        <w:spacing w:line="264" w:lineRule="auto"/>
        <w:ind w:right="84" w:rightChars="40"/>
        <w:jc w:val="center"/>
        <w:outlineLvl w:val="0"/>
        <w:rPr>
          <w:rFonts w:hint="eastAsia" w:ascii="宋体" w:hAnsi="宋体"/>
          <w:b/>
          <w:sz w:val="32"/>
          <w:szCs w:val="32"/>
        </w:rPr>
      </w:pPr>
    </w:p>
    <w:p w14:paraId="1C9E9F21">
      <w:pPr>
        <w:spacing w:line="264" w:lineRule="auto"/>
        <w:ind w:right="84" w:rightChars="40"/>
        <w:jc w:val="center"/>
        <w:outlineLvl w:val="0"/>
        <w:rPr>
          <w:rFonts w:hint="eastAsia" w:ascii="宋体" w:hAnsi="宋体"/>
          <w:b/>
          <w:sz w:val="32"/>
          <w:szCs w:val="32"/>
        </w:rPr>
      </w:pPr>
    </w:p>
    <w:p w14:paraId="3F3C6B84">
      <w:pPr>
        <w:spacing w:line="264" w:lineRule="auto"/>
        <w:ind w:right="84" w:rightChars="40"/>
        <w:jc w:val="center"/>
        <w:outlineLvl w:val="0"/>
        <w:rPr>
          <w:rFonts w:hint="eastAsia" w:ascii="宋体" w:hAnsi="宋体"/>
          <w:b/>
          <w:sz w:val="32"/>
          <w:szCs w:val="32"/>
        </w:rPr>
      </w:pPr>
    </w:p>
    <w:p w14:paraId="04F554EC">
      <w:pPr>
        <w:spacing w:line="264" w:lineRule="auto"/>
        <w:ind w:right="84" w:rightChars="40"/>
        <w:jc w:val="center"/>
        <w:outlineLvl w:val="0"/>
        <w:rPr>
          <w:rFonts w:hint="eastAsia" w:ascii="宋体" w:hAnsi="宋体"/>
          <w:b/>
          <w:sz w:val="32"/>
          <w:szCs w:val="32"/>
        </w:rPr>
      </w:pPr>
    </w:p>
    <w:p w14:paraId="38AD8E9E">
      <w:pPr>
        <w:spacing w:line="264" w:lineRule="auto"/>
        <w:ind w:right="84" w:rightChars="40"/>
        <w:jc w:val="center"/>
        <w:outlineLvl w:val="0"/>
        <w:rPr>
          <w:rFonts w:hint="eastAsia" w:ascii="宋体" w:hAnsi="宋体"/>
          <w:b/>
          <w:sz w:val="32"/>
          <w:szCs w:val="32"/>
        </w:rPr>
      </w:pPr>
    </w:p>
    <w:p w14:paraId="121B0A18">
      <w:pPr>
        <w:spacing w:line="264" w:lineRule="auto"/>
        <w:ind w:right="84" w:rightChars="40"/>
        <w:jc w:val="center"/>
        <w:outlineLvl w:val="0"/>
        <w:rPr>
          <w:rFonts w:hint="eastAsia" w:ascii="宋体" w:hAnsi="宋体"/>
          <w:b/>
          <w:sz w:val="32"/>
          <w:szCs w:val="32"/>
        </w:rPr>
      </w:pPr>
    </w:p>
    <w:p w14:paraId="75D8F594">
      <w:pPr>
        <w:spacing w:line="264" w:lineRule="auto"/>
        <w:ind w:right="84" w:rightChars="40"/>
        <w:jc w:val="center"/>
        <w:outlineLvl w:val="0"/>
        <w:rPr>
          <w:rFonts w:hint="eastAsia" w:ascii="宋体" w:hAnsi="宋体"/>
          <w:b/>
          <w:sz w:val="32"/>
          <w:szCs w:val="32"/>
        </w:rPr>
      </w:pPr>
    </w:p>
    <w:p w14:paraId="273EA328">
      <w:pPr>
        <w:rPr>
          <w:rFonts w:hint="eastAsia"/>
        </w:rPr>
      </w:pPr>
    </w:p>
    <w:p w14:paraId="4936C088">
      <w:pPr>
        <w:spacing w:line="264" w:lineRule="auto"/>
        <w:ind w:right="84" w:rightChars="40"/>
        <w:jc w:val="center"/>
        <w:outlineLvl w:val="0"/>
        <w:rPr>
          <w:rFonts w:hint="eastAsia" w:ascii="宋体" w:hAnsi="宋体"/>
          <w:b/>
          <w:sz w:val="32"/>
          <w:szCs w:val="32"/>
        </w:rPr>
      </w:pPr>
    </w:p>
    <w:p w14:paraId="6A95CB16">
      <w:pPr>
        <w:spacing w:line="264" w:lineRule="auto"/>
        <w:ind w:right="84" w:rightChars="40"/>
        <w:jc w:val="center"/>
        <w:outlineLvl w:val="0"/>
        <w:rPr>
          <w:rFonts w:ascii="宋体" w:hAnsi="宋体"/>
          <w:b/>
          <w:sz w:val="32"/>
          <w:szCs w:val="32"/>
        </w:rPr>
      </w:pPr>
      <w:r>
        <w:rPr>
          <w:rFonts w:hint="eastAsia" w:ascii="宋体" w:hAnsi="宋体"/>
          <w:b/>
          <w:sz w:val="32"/>
          <w:szCs w:val="32"/>
        </w:rPr>
        <w:t>第</w:t>
      </w:r>
      <w:r>
        <w:rPr>
          <w:rFonts w:hint="eastAsia" w:ascii="宋体" w:hAnsi="宋体"/>
          <w:b/>
          <w:sz w:val="32"/>
          <w:szCs w:val="32"/>
          <w:lang w:val="en-US" w:eastAsia="zh-CN"/>
        </w:rPr>
        <w:t>五</w:t>
      </w:r>
      <w:r>
        <w:rPr>
          <w:rFonts w:hint="eastAsia" w:ascii="宋体" w:hAnsi="宋体"/>
          <w:b/>
          <w:sz w:val="32"/>
          <w:szCs w:val="32"/>
        </w:rPr>
        <w:t>章  合同条款及格式</w:t>
      </w:r>
      <w:bookmarkEnd w:id="524"/>
      <w:bookmarkEnd w:id="525"/>
      <w:bookmarkEnd w:id="526"/>
    </w:p>
    <w:p w14:paraId="6CF525EF">
      <w:pPr>
        <w:adjustRightInd w:val="0"/>
        <w:snapToGrid w:val="0"/>
        <w:spacing w:line="560" w:lineRule="exact"/>
        <w:ind w:left="0" w:leftChars="0" w:firstLine="0" w:firstLineChars="0"/>
        <w:jc w:val="both"/>
        <w:rPr>
          <w:rFonts w:hint="eastAsia" w:ascii="仿宋" w:hAnsi="仿宋" w:eastAsia="仿宋" w:cs="仿宋"/>
          <w:b/>
          <w:bCs/>
          <w:sz w:val="24"/>
          <w:szCs w:val="24"/>
          <w:lang w:val="en-US" w:eastAsia="zh-CN"/>
        </w:rPr>
      </w:pPr>
    </w:p>
    <w:p w14:paraId="3B750F33">
      <w:pPr>
        <w:pStyle w:val="2"/>
        <w:rPr>
          <w:rFonts w:hint="eastAsia"/>
          <w:lang w:val="en-US" w:eastAsia="zh-CN"/>
        </w:rPr>
        <w:sectPr>
          <w:headerReference r:id="rId4" w:type="default"/>
          <w:footerReference r:id="rId5" w:type="default"/>
          <w:pgSz w:w="11905" w:h="16838"/>
          <w:pgMar w:top="1417" w:right="1474" w:bottom="1417" w:left="1531" w:header="1191" w:footer="1134" w:gutter="0"/>
          <w:pgBorders>
            <w:top w:val="none" w:sz="0" w:space="0"/>
            <w:left w:val="none" w:sz="0" w:space="0"/>
            <w:bottom w:val="none" w:sz="0" w:space="0"/>
            <w:right w:val="none" w:sz="0" w:space="0"/>
          </w:pgBorders>
          <w:pgNumType w:fmt="decimal"/>
          <w:cols w:space="720" w:num="1"/>
          <w:rtlGutter w:val="0"/>
          <w:docGrid w:linePitch="312" w:charSpace="0"/>
        </w:sectPr>
      </w:pPr>
    </w:p>
    <w:p w14:paraId="6AD3D435">
      <w:pPr>
        <w:jc w:val="center"/>
        <w:rPr>
          <w:rFonts w:hint="default" w:eastAsia="宋体"/>
          <w:sz w:val="32"/>
          <w:szCs w:val="32"/>
          <w:lang w:val="en-US" w:eastAsia="zh-CN"/>
        </w:rPr>
      </w:pPr>
      <w:bookmarkStart w:id="548" w:name="_Toc80884530"/>
      <w:bookmarkStart w:id="549" w:name="_Toc7180"/>
      <w:r>
        <w:rPr>
          <w:rFonts w:hint="eastAsia" w:ascii="仿宋" w:hAnsi="仿宋" w:eastAsia="仿宋" w:cs="仿宋"/>
          <w:sz w:val="28"/>
          <w:szCs w:val="28"/>
        </w:rPr>
        <w:t xml:space="preserve">           </w:t>
      </w:r>
      <w:r>
        <w:rPr>
          <w:sz w:val="28"/>
          <w:highlight w:val="none"/>
        </w:rPr>
        <mc:AlternateContent>
          <mc:Choice Requires="wps">
            <w:drawing>
              <wp:anchor distT="0" distB="0" distL="114300" distR="114300" simplePos="0" relativeHeight="251661312" behindDoc="0" locked="0" layoutInCell="1" allowOverlap="1">
                <wp:simplePos x="0" y="0"/>
                <wp:positionH relativeFrom="column">
                  <wp:posOffset>4055110</wp:posOffset>
                </wp:positionH>
                <wp:positionV relativeFrom="paragraph">
                  <wp:posOffset>-346710</wp:posOffset>
                </wp:positionV>
                <wp:extent cx="1525270" cy="567690"/>
                <wp:effectExtent l="7620" t="7620" r="10160" b="15240"/>
                <wp:wrapNone/>
                <wp:docPr id="12" name="文本框 12"/>
                <wp:cNvGraphicFramePr/>
                <a:graphic xmlns:a="http://schemas.openxmlformats.org/drawingml/2006/main">
                  <a:graphicData uri="http://schemas.microsoft.com/office/word/2010/wordprocessingShape">
                    <wps:wsp>
                      <wps:cNvSpPr txBox="1"/>
                      <wps:spPr>
                        <a:xfrm>
                          <a:off x="0" y="0"/>
                          <a:ext cx="1525270" cy="567690"/>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6B0813D9">
                            <w:pPr>
                              <w:jc w:val="center"/>
                              <w:rPr>
                                <w:rFonts w:hint="default" w:eastAsia="宋体"/>
                                <w:sz w:val="32"/>
                                <w:szCs w:val="32"/>
                                <w:lang w:val="en-US" w:eastAsia="zh-CN"/>
                              </w:rPr>
                            </w:pPr>
                            <w:r>
                              <w:rPr>
                                <w:rFonts w:hint="eastAsia" w:ascii="方正仿宋_GBK" w:hAnsi="宋体" w:eastAsia="方正仿宋_GBK"/>
                                <w:bCs/>
                                <w:sz w:val="28"/>
                                <w:szCs w:val="28"/>
                              </w:rPr>
                              <w:sym w:font="Wingdings" w:char="00A8"/>
                            </w:r>
                            <w:r>
                              <w:rPr>
                                <w:rFonts w:hint="eastAsia"/>
                                <w:sz w:val="32"/>
                                <w:szCs w:val="32"/>
                                <w:lang w:eastAsia="zh-CN"/>
                              </w:rPr>
                              <w:t>正本</w:t>
                            </w:r>
                            <w:r>
                              <w:rPr>
                                <w:rFonts w:hint="eastAsia" w:ascii="方正仿宋_GBK" w:hAnsi="宋体" w:eastAsia="方正仿宋_GBK"/>
                                <w:bCs/>
                                <w:sz w:val="28"/>
                                <w:szCs w:val="28"/>
                              </w:rPr>
                              <w:sym w:font="Wingdings" w:char="00A8"/>
                            </w:r>
                            <w:r>
                              <w:rPr>
                                <w:rFonts w:hint="eastAsia"/>
                                <w:sz w:val="32"/>
                                <w:szCs w:val="32"/>
                                <w:lang w:val="en-US" w:eastAsia="zh-CN"/>
                              </w:rPr>
                              <w:t>副本</w:t>
                            </w:r>
                          </w:p>
                        </w:txbxContent>
                      </wps:txbx>
                      <wps:bodyPr upright="0"/>
                    </wps:wsp>
                  </a:graphicData>
                </a:graphic>
              </wp:anchor>
            </w:drawing>
          </mc:Choice>
          <mc:Fallback>
            <w:pict>
              <v:shape id="_x0000_s1026" o:spid="_x0000_s1026" o:spt="202" type="#_x0000_t202" style="position:absolute;left:0pt;margin-left:319.3pt;margin-top:-27.3pt;height:44.7pt;width:120.1pt;z-index:251661312;mso-width-relative:page;mso-height-relative:page;" fillcolor="#FFFFFF" filled="t" stroked="t" coordsize="21600,21600" o:gfxdata="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1Qy1L2QAAAAoBAAAPAAAAAAAAAAEA&#10;IAAAACIAAABkcnMvZG93bnJldi54bWxQSwECFAAUAAAACACHTuJAeRhaO0cCAADABAAADgAAAAAA&#10;AAABACAAAAAoAQAAZHJzL2Uyb0RvYy54bWxQSwUGAAAAAAYABgBZAQAA4QUAAAAA&#10;">
                <v:fill type="gradient" on="t" color2="#FFFFFF" angle="90" focus="100%" focussize="0,0">
                  <o:fill type="gradientUnscaled" v:ext="backwardCompatible"/>
                </v:fill>
                <v:stroke weight="1.25pt" color="#739CC3" joinstyle="miter"/>
                <v:imagedata o:title=""/>
                <o:lock v:ext="edit" aspectratio="f"/>
                <v:textbox>
                  <w:txbxContent>
                    <w:p w14:paraId="6B0813D9">
                      <w:pPr>
                        <w:jc w:val="center"/>
                        <w:rPr>
                          <w:rFonts w:hint="default" w:eastAsia="宋体"/>
                          <w:sz w:val="32"/>
                          <w:szCs w:val="32"/>
                          <w:lang w:val="en-US" w:eastAsia="zh-CN"/>
                        </w:rPr>
                      </w:pPr>
                      <w:r>
                        <w:rPr>
                          <w:rFonts w:hint="eastAsia" w:ascii="方正仿宋_GBK" w:hAnsi="宋体" w:eastAsia="方正仿宋_GBK"/>
                          <w:bCs/>
                          <w:sz w:val="28"/>
                          <w:szCs w:val="28"/>
                        </w:rPr>
                        <w:sym w:font="Wingdings" w:char="00A8"/>
                      </w:r>
                      <w:r>
                        <w:rPr>
                          <w:rFonts w:hint="eastAsia"/>
                          <w:sz w:val="32"/>
                          <w:szCs w:val="32"/>
                          <w:lang w:eastAsia="zh-CN"/>
                        </w:rPr>
                        <w:t>正本</w:t>
                      </w:r>
                      <w:r>
                        <w:rPr>
                          <w:rFonts w:hint="eastAsia" w:ascii="方正仿宋_GBK" w:hAnsi="宋体" w:eastAsia="方正仿宋_GBK"/>
                          <w:bCs/>
                          <w:sz w:val="28"/>
                          <w:szCs w:val="28"/>
                        </w:rPr>
                        <w:sym w:font="Wingdings" w:char="00A8"/>
                      </w:r>
                      <w:r>
                        <w:rPr>
                          <w:rFonts w:hint="eastAsia"/>
                          <w:sz w:val="32"/>
                          <w:szCs w:val="32"/>
                          <w:lang w:val="en-US" w:eastAsia="zh-CN"/>
                        </w:rPr>
                        <w:t>副本</w:t>
                      </w:r>
                    </w:p>
                  </w:txbxContent>
                </v:textbox>
              </v:shape>
            </w:pict>
          </mc:Fallback>
        </mc:AlternateConten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p>
    <w:p w14:paraId="6197706F">
      <w:pPr>
        <w:jc w:val="left"/>
        <w:rPr>
          <w:rFonts w:hint="default" w:ascii="仿宋" w:hAnsi="仿宋" w:eastAsia="微软雅黑"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买方合同编号：</w:t>
      </w:r>
      <w:r>
        <w:rPr>
          <w:rFonts w:hint="eastAsia" w:ascii="仿宋" w:hAnsi="仿宋" w:eastAsia="仿宋" w:cs="仿宋"/>
          <w:sz w:val="24"/>
          <w:szCs w:val="24"/>
          <w:u w:val="single"/>
          <w:lang w:val="en-US" w:eastAsia="zh-CN"/>
        </w:rPr>
        <w:t xml:space="preserve">                  </w:t>
      </w:r>
    </w:p>
    <w:p w14:paraId="140E1506">
      <w:pPr>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卖方合同编号：</w:t>
      </w:r>
      <w:r>
        <w:rPr>
          <w:rFonts w:hint="eastAsia" w:ascii="仿宋" w:hAnsi="仿宋" w:eastAsia="仿宋" w:cs="仿宋"/>
          <w:sz w:val="28"/>
          <w:szCs w:val="28"/>
          <w:lang w:val="en-US" w:eastAsia="zh-CN"/>
        </w:rPr>
        <w:t>_______________</w:t>
      </w:r>
    </w:p>
    <w:p w14:paraId="6C087374">
      <w:pPr>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校对人及时间：_______________</w:t>
      </w:r>
    </w:p>
    <w:p w14:paraId="0A0D1937">
      <w:pPr>
        <w:jc w:val="center"/>
        <w:rPr>
          <w:rFonts w:ascii="仿宋" w:hAnsi="仿宋" w:eastAsia="仿宋" w:cs="仿宋"/>
          <w:sz w:val="28"/>
          <w:szCs w:val="28"/>
        </w:rPr>
      </w:pPr>
      <w:r>
        <w:rPr>
          <w:rFonts w:hint="eastAsia" w:ascii="仿宋" w:hAnsi="仿宋" w:eastAsia="仿宋" w:cs="仿宋"/>
          <w:sz w:val="28"/>
          <w:szCs w:val="28"/>
        </w:rPr>
        <w:t xml:space="preserve">                              </w:t>
      </w:r>
    </w:p>
    <w:p w14:paraId="12068129">
      <w:pPr>
        <w:pStyle w:val="99"/>
        <w:ind w:firstLine="560"/>
        <w:rPr>
          <w:rFonts w:ascii="仿宋" w:hAnsi="仿宋" w:eastAsia="仿宋" w:cs="仿宋"/>
          <w:sz w:val="28"/>
          <w:szCs w:val="28"/>
        </w:rPr>
      </w:pPr>
    </w:p>
    <w:p w14:paraId="0CADCFFC">
      <w:pPr>
        <w:pStyle w:val="99"/>
        <w:ind w:firstLine="560"/>
        <w:rPr>
          <w:rFonts w:ascii="仿宋" w:hAnsi="仿宋" w:eastAsia="仿宋" w:cs="仿宋"/>
          <w:sz w:val="28"/>
          <w:szCs w:val="28"/>
        </w:rPr>
      </w:pPr>
    </w:p>
    <w:p w14:paraId="56C76039">
      <w:pPr>
        <w:pStyle w:val="99"/>
        <w:keepNext w:val="0"/>
        <w:keepLines w:val="0"/>
        <w:pageBreakBefore w:val="0"/>
        <w:widowControl w:val="0"/>
        <w:kinsoku/>
        <w:wordWrap/>
        <w:overflowPunct/>
        <w:topLinePunct w:val="0"/>
        <w:autoSpaceDE/>
        <w:autoSpaceDN/>
        <w:bidi w:val="0"/>
        <w:adjustRightInd/>
        <w:snapToGrid/>
        <w:spacing w:line="640" w:lineRule="exact"/>
        <w:ind w:firstLine="0" w:firstLineChars="0"/>
        <w:jc w:val="center"/>
        <w:textAlignment w:val="auto"/>
        <w:rPr>
          <w:rFonts w:hint="eastAsia" w:eastAsia="宋体"/>
          <w:lang w:eastAsia="zh-CN"/>
        </w:rPr>
      </w:pPr>
      <w:r>
        <w:rPr>
          <w:rFonts w:hint="eastAsia" w:ascii="方正小标宋_GBK" w:hAnsi="方正小标宋_GBK" w:eastAsia="方正小标宋_GBK" w:cs="方正小标宋_GBK"/>
          <w:sz w:val="44"/>
          <w:szCs w:val="44"/>
          <w:lang w:val="en-US" w:eastAsia="zh-CN"/>
        </w:rPr>
        <w:t>XXX</w:t>
      </w:r>
      <w:r>
        <w:rPr>
          <w:rFonts w:hint="eastAsia" w:ascii="方正小标宋_GBK" w:hAnsi="方正小标宋_GBK" w:eastAsia="方正小标宋_GBK" w:cs="方正小标宋_GBK"/>
          <w:sz w:val="44"/>
          <w:szCs w:val="44"/>
          <w:lang w:eastAsia="zh-CN"/>
        </w:rPr>
        <w:t>工程</w:t>
      </w:r>
      <w:r>
        <w:rPr>
          <w:rFonts w:hint="eastAsia" w:ascii="方正小标宋_GBK" w:hAnsi="方正小标宋_GBK" w:eastAsia="方正小标宋_GBK" w:cs="方正小标宋_GBK"/>
          <w:sz w:val="44"/>
          <w:szCs w:val="44"/>
          <w:lang w:val="en-US" w:eastAsia="zh-CN"/>
        </w:rPr>
        <w:t>XXX设备</w:t>
      </w:r>
      <w:r>
        <w:rPr>
          <w:rFonts w:hint="eastAsia" w:ascii="方正小标宋_GBK" w:hAnsi="方正小标宋_GBK" w:eastAsia="方正小标宋_GBK" w:cs="方正小标宋_GBK"/>
          <w:sz w:val="44"/>
          <w:szCs w:val="44"/>
          <w:lang w:eastAsia="zh-CN"/>
        </w:rPr>
        <w:t>购销合同</w:t>
      </w:r>
    </w:p>
    <w:p w14:paraId="270C582E">
      <w:pPr>
        <w:widowControl/>
        <w:jc w:val="center"/>
        <w:rPr>
          <w:rFonts w:ascii="宋体" w:hAnsi="宋体"/>
          <w:sz w:val="44"/>
          <w:szCs w:val="44"/>
        </w:rPr>
      </w:pPr>
    </w:p>
    <w:p w14:paraId="2472BDA5">
      <w:pPr>
        <w:pStyle w:val="99"/>
        <w:ind w:firstLine="880"/>
        <w:rPr>
          <w:rFonts w:ascii="宋体" w:hAnsi="宋体"/>
          <w:sz w:val="44"/>
          <w:szCs w:val="44"/>
        </w:rPr>
      </w:pPr>
    </w:p>
    <w:p w14:paraId="2ADC14A9">
      <w:pPr>
        <w:pStyle w:val="99"/>
        <w:ind w:firstLine="880"/>
        <w:rPr>
          <w:rFonts w:ascii="宋体" w:hAnsi="宋体"/>
          <w:sz w:val="44"/>
          <w:szCs w:val="44"/>
        </w:rPr>
      </w:pPr>
    </w:p>
    <w:p w14:paraId="49CD12A0">
      <w:pPr>
        <w:widowControl/>
        <w:spacing w:line="720" w:lineRule="auto"/>
        <w:ind w:firstLine="1280" w:firstLineChars="400"/>
        <w:jc w:val="left"/>
        <w:rPr>
          <w:rFonts w:ascii="仿宋" w:hAnsi="仿宋" w:eastAsia="仿宋" w:cs="仿宋"/>
          <w:sz w:val="32"/>
          <w:szCs w:val="32"/>
        </w:rPr>
      </w:pPr>
      <w:r>
        <w:rPr>
          <w:rFonts w:hint="eastAsia" w:ascii="仿宋" w:hAnsi="仿宋" w:eastAsia="仿宋" w:cs="仿宋"/>
          <w:sz w:val="32"/>
          <w:szCs w:val="32"/>
        </w:rPr>
        <w:t>买    方：重庆涪陵聚龙电力有限公司</w:t>
      </w:r>
    </w:p>
    <w:p w14:paraId="7AC537CA">
      <w:pPr>
        <w:widowControl/>
        <w:spacing w:line="720" w:lineRule="auto"/>
        <w:ind w:firstLine="1280" w:firstLineChars="400"/>
        <w:jc w:val="left"/>
        <w:rPr>
          <w:rFonts w:hint="default" w:ascii="仿宋" w:hAnsi="仿宋" w:eastAsia="仿宋" w:cs="仿宋"/>
          <w:sz w:val="32"/>
          <w:szCs w:val="32"/>
          <w:lang w:val="en-US" w:eastAsia="zh-CN"/>
        </w:rPr>
      </w:pPr>
      <w:r>
        <w:rPr>
          <w:rFonts w:hint="eastAsia" w:ascii="仿宋" w:hAnsi="仿宋" w:eastAsia="仿宋" w:cs="仿宋"/>
          <w:sz w:val="32"/>
          <w:szCs w:val="32"/>
        </w:rPr>
        <w:t>卖    方：</w:t>
      </w:r>
      <w:r>
        <w:rPr>
          <w:rFonts w:hint="eastAsia" w:ascii="仿宋" w:hAnsi="仿宋" w:eastAsia="仿宋" w:cs="仿宋"/>
          <w:sz w:val="32"/>
          <w:szCs w:val="32"/>
          <w:lang w:val="en-US" w:eastAsia="zh-CN"/>
        </w:rPr>
        <w:t xml:space="preserve">   </w:t>
      </w:r>
    </w:p>
    <w:p w14:paraId="504A4FE9">
      <w:pPr>
        <w:widowControl/>
        <w:spacing w:line="720" w:lineRule="auto"/>
        <w:ind w:firstLine="1280" w:firstLineChars="400"/>
        <w:jc w:val="left"/>
        <w:rPr>
          <w:rFonts w:ascii="仿宋" w:hAnsi="仿宋" w:eastAsia="仿宋" w:cs="仿宋"/>
          <w:sz w:val="32"/>
          <w:szCs w:val="32"/>
        </w:rPr>
      </w:pPr>
      <w:r>
        <w:rPr>
          <w:rFonts w:hint="eastAsia" w:ascii="仿宋" w:hAnsi="仿宋" w:eastAsia="仿宋" w:cs="仿宋"/>
          <w:sz w:val="32"/>
          <w:szCs w:val="32"/>
        </w:rPr>
        <w:t>签订地点：重庆市涪陵区</w:t>
      </w:r>
    </w:p>
    <w:p w14:paraId="647CF75F">
      <w:pPr>
        <w:pStyle w:val="99"/>
      </w:pPr>
    </w:p>
    <w:p w14:paraId="2591929C">
      <w:pPr>
        <w:pStyle w:val="99"/>
      </w:pPr>
    </w:p>
    <w:p w14:paraId="1A8B411D">
      <w:pPr>
        <w:pStyle w:val="99"/>
      </w:pPr>
    </w:p>
    <w:p w14:paraId="2C907604">
      <w:pPr>
        <w:spacing w:line="580" w:lineRule="exact"/>
        <w:jc w:val="center"/>
        <w:outlineLvl w:val="1"/>
        <w:rPr>
          <w:rFonts w:ascii="方正仿宋_GBK" w:hAnsi="方正仿宋_GBK" w:eastAsia="方正仿宋_GBK" w:cs="方正仿宋_GBK"/>
          <w:b/>
          <w:sz w:val="32"/>
          <w:szCs w:val="32"/>
        </w:rPr>
        <w:sectPr>
          <w:footerReference r:id="rId6" w:type="default"/>
          <w:pgSz w:w="11906" w:h="16838"/>
          <w:pgMar w:top="1440" w:right="1800" w:bottom="1440" w:left="1800" w:header="851" w:footer="992" w:gutter="0"/>
          <w:pgNumType w:fmt="decimal"/>
          <w:cols w:space="425" w:num="1"/>
          <w:docGrid w:type="lines" w:linePitch="312" w:charSpace="0"/>
        </w:sectPr>
      </w:pPr>
      <w:bookmarkStart w:id="550" w:name="_Toc9970"/>
      <w:bookmarkStart w:id="551" w:name="_Toc29833"/>
      <w:bookmarkStart w:id="552" w:name="_Toc3350"/>
      <w:bookmarkStart w:id="553" w:name="_Toc15051"/>
      <w:bookmarkStart w:id="554" w:name="_Toc10513"/>
      <w:bookmarkStart w:id="555" w:name="_Toc12832"/>
      <w:bookmarkStart w:id="556" w:name="_Toc1307"/>
      <w:bookmarkStart w:id="557" w:name="_Toc512156446"/>
      <w:bookmarkStart w:id="558" w:name="_Toc5757"/>
    </w:p>
    <w:p w14:paraId="5E5CDB7D">
      <w:pPr>
        <w:keepNext w:val="0"/>
        <w:keepLines w:val="0"/>
        <w:pageBreakBefore w:val="0"/>
        <w:kinsoku/>
        <w:wordWrap/>
        <w:overflowPunct/>
        <w:topLinePunct w:val="0"/>
        <w:autoSpaceDE/>
        <w:autoSpaceDN/>
        <w:bidi w:val="0"/>
        <w:spacing w:line="400" w:lineRule="exact"/>
        <w:jc w:val="center"/>
        <w:textAlignment w:val="auto"/>
        <w:outlineLvl w:val="1"/>
        <w:rPr>
          <w:rFonts w:ascii="方正仿宋_GBK" w:hAnsi="方正仿宋_GBK" w:eastAsia="方正仿宋_GBK" w:cs="方正仿宋_GBK"/>
          <w:b/>
          <w:sz w:val="28"/>
          <w:szCs w:val="28"/>
        </w:rPr>
      </w:pPr>
      <w:r>
        <w:rPr>
          <w:rFonts w:hint="eastAsia" w:ascii="方正仿宋_GBK" w:hAnsi="方正仿宋_GBK" w:eastAsia="方正仿宋_GBK" w:cs="方正仿宋_GBK"/>
          <w:b/>
          <w:sz w:val="32"/>
          <w:szCs w:val="32"/>
        </w:rPr>
        <w:t>第一部分 合同协议书</w:t>
      </w:r>
      <w:bookmarkEnd w:id="550"/>
      <w:bookmarkEnd w:id="551"/>
      <w:bookmarkEnd w:id="552"/>
      <w:bookmarkEnd w:id="553"/>
    </w:p>
    <w:p w14:paraId="4D4080C5">
      <w:pPr>
        <w:keepNext w:val="0"/>
        <w:keepLines w:val="0"/>
        <w:pageBreakBefore w:val="0"/>
        <w:kinsoku/>
        <w:wordWrap/>
        <w:overflowPunct/>
        <w:topLinePunct w:val="0"/>
        <w:autoSpaceDE/>
        <w:autoSpaceDN/>
        <w:bidi w:val="0"/>
        <w:spacing w:line="400" w:lineRule="exact"/>
        <w:textAlignment w:val="auto"/>
        <w:rPr>
          <w:sz w:val="28"/>
          <w:szCs w:val="28"/>
        </w:rPr>
      </w:pPr>
    </w:p>
    <w:p w14:paraId="4E42D1FF">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u w:val="single"/>
        </w:rPr>
        <w:t>重庆涪陵聚龙电力有限公司</w:t>
      </w:r>
      <w:r>
        <w:rPr>
          <w:rFonts w:hint="eastAsia" w:ascii="方正仿宋_GBK" w:hAnsi="方正仿宋_GBK" w:eastAsia="方正仿宋_GBK" w:cs="方正仿宋_GBK"/>
          <w:bCs/>
          <w:sz w:val="28"/>
          <w:szCs w:val="28"/>
        </w:rPr>
        <w:t>将</w:t>
      </w:r>
      <w:r>
        <w:rPr>
          <w:rFonts w:hint="eastAsia" w:ascii="方正仿宋_GBK" w:hAnsi="方正仿宋_GBK" w:eastAsia="方正仿宋_GBK" w:cs="方正仿宋_GBK"/>
          <w:bCs/>
          <w:sz w:val="28"/>
          <w:szCs w:val="28"/>
          <w:u w:val="single"/>
          <w:lang w:val="en-US" w:eastAsia="zh-CN"/>
        </w:rPr>
        <w:t xml:space="preserve">              </w:t>
      </w:r>
      <w:r>
        <w:rPr>
          <w:rFonts w:hint="eastAsia" w:ascii="方正仿宋_GBK" w:hAnsi="方正仿宋_GBK" w:eastAsia="方正仿宋_GBK" w:cs="方正仿宋_GBK"/>
          <w:bCs/>
          <w:sz w:val="28"/>
          <w:szCs w:val="28"/>
          <w:u w:val="single"/>
          <w:lang w:eastAsia="zh-CN"/>
        </w:rPr>
        <w:t>购销合同</w:t>
      </w:r>
      <w:r>
        <w:rPr>
          <w:rFonts w:hint="eastAsia" w:ascii="方正仿宋_GBK" w:hAnsi="方正仿宋_GBK" w:eastAsia="方正仿宋_GBK" w:cs="方正仿宋_GBK"/>
          <w:bCs/>
          <w:sz w:val="28"/>
          <w:szCs w:val="28"/>
        </w:rPr>
        <w:t>授予</w:t>
      </w:r>
      <w:r>
        <w:rPr>
          <w:rFonts w:hint="eastAsia" w:ascii="方正仿宋_GBK" w:hAnsi="方正仿宋_GBK" w:eastAsia="方正仿宋_GBK" w:cs="方正仿宋_GBK"/>
          <w:bCs/>
          <w:sz w:val="28"/>
          <w:szCs w:val="28"/>
          <w:u w:val="single"/>
          <w:lang w:val="en-US" w:eastAsia="zh-CN"/>
        </w:rPr>
        <w:t xml:space="preserve">                  </w:t>
      </w:r>
      <w:r>
        <w:rPr>
          <w:rFonts w:hint="eastAsia" w:ascii="方正仿宋_GBK" w:hAnsi="方正仿宋_GBK" w:eastAsia="方正仿宋_GBK" w:cs="方正仿宋_GBK"/>
          <w:bCs/>
          <w:sz w:val="28"/>
          <w:szCs w:val="28"/>
        </w:rPr>
        <w:t>。根据《中华人民共和国民法典》和相关法律、法规的规定，为明确双方的权利和义务，经双方协商一致，签订合同协议如下：</w:t>
      </w:r>
    </w:p>
    <w:p w14:paraId="5ED62045">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59" w:name="_Toc1773"/>
      <w:bookmarkStart w:id="560" w:name="_Toc4659"/>
      <w:bookmarkStart w:id="561" w:name="_Toc1245"/>
      <w:bookmarkStart w:id="562" w:name="_Toc27699"/>
      <w:bookmarkStart w:id="563" w:name="_Toc512156447"/>
      <w:r>
        <w:rPr>
          <w:rFonts w:hint="eastAsia" w:ascii="方正仿宋_GBK" w:hAnsi="方正仿宋_GBK" w:eastAsia="方正仿宋_GBK" w:cs="方正仿宋_GBK"/>
          <w:bCs/>
          <w:sz w:val="28"/>
          <w:szCs w:val="28"/>
        </w:rPr>
        <w:t>一、批文及资金来源</w:t>
      </w:r>
      <w:bookmarkEnd w:id="559"/>
      <w:bookmarkEnd w:id="560"/>
      <w:bookmarkEnd w:id="561"/>
    </w:p>
    <w:p w14:paraId="5696DDC9">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64" w:name="_Toc499"/>
      <w:r>
        <w:rPr>
          <w:rFonts w:hint="eastAsia" w:ascii="方正仿宋_GBK" w:hAnsi="方正仿宋_GBK" w:eastAsia="方正仿宋_GBK" w:cs="方正仿宋_GBK"/>
          <w:bCs/>
          <w:sz w:val="28"/>
          <w:szCs w:val="28"/>
        </w:rPr>
        <w:t>（一）批准文号：</w:t>
      </w:r>
      <w:r>
        <w:rPr>
          <w:rFonts w:hint="eastAsia" w:ascii="方正仿宋_GBK" w:hAnsi="方正仿宋_GBK" w:eastAsia="方正仿宋_GBK" w:cs="方正仿宋_GBK"/>
          <w:bCs/>
          <w:sz w:val="28"/>
          <w:szCs w:val="28"/>
          <w:lang w:val="en-US" w:eastAsia="zh-CN"/>
        </w:rPr>
        <w:t>/</w:t>
      </w:r>
      <w:bookmarkEnd w:id="564"/>
    </w:p>
    <w:p w14:paraId="6D2F7205">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65" w:name="_Toc2618"/>
      <w:r>
        <w:rPr>
          <w:rFonts w:hint="eastAsia" w:ascii="方正仿宋_GBK" w:hAnsi="方正仿宋_GBK" w:eastAsia="方正仿宋_GBK" w:cs="方正仿宋_GBK"/>
          <w:bCs/>
          <w:sz w:val="28"/>
          <w:szCs w:val="28"/>
        </w:rPr>
        <w:t>（二）资金来源：</w:t>
      </w:r>
      <w:r>
        <w:rPr>
          <w:rFonts w:hint="eastAsia" w:ascii="方正仿宋_GBK" w:hAnsi="方正仿宋_GBK" w:eastAsia="方正仿宋_GBK" w:cs="方正仿宋_GBK"/>
          <w:bCs/>
          <w:sz w:val="28"/>
          <w:szCs w:val="28"/>
          <w:u w:val="single"/>
        </w:rPr>
        <w:t>业主自筹</w:t>
      </w:r>
      <w:r>
        <w:rPr>
          <w:rFonts w:hint="eastAsia" w:ascii="方正仿宋_GBK" w:hAnsi="方正仿宋_GBK" w:eastAsia="方正仿宋_GBK" w:cs="方正仿宋_GBK"/>
          <w:bCs/>
          <w:sz w:val="28"/>
          <w:szCs w:val="28"/>
        </w:rPr>
        <w:t>。</w:t>
      </w:r>
      <w:bookmarkEnd w:id="565"/>
    </w:p>
    <w:p w14:paraId="70ABA151">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66" w:name="_Toc14312"/>
      <w:bookmarkStart w:id="567" w:name="_Toc27130"/>
      <w:bookmarkStart w:id="568" w:name="_Toc10810"/>
      <w:r>
        <w:rPr>
          <w:rFonts w:hint="eastAsia" w:ascii="方正仿宋_GBK" w:hAnsi="方正仿宋_GBK" w:eastAsia="方正仿宋_GBK" w:cs="方正仿宋_GBK"/>
          <w:bCs/>
          <w:sz w:val="28"/>
          <w:szCs w:val="28"/>
        </w:rPr>
        <w:t>二、合同文件构成</w:t>
      </w:r>
      <w:bookmarkEnd w:id="562"/>
      <w:bookmarkEnd w:id="563"/>
      <w:bookmarkEnd w:id="566"/>
      <w:bookmarkEnd w:id="567"/>
      <w:bookmarkEnd w:id="568"/>
    </w:p>
    <w:p w14:paraId="5398169D">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（一）补充协议书</w:t>
      </w:r>
    </w:p>
    <w:p w14:paraId="6D4C444B">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（二）技术协议书</w:t>
      </w:r>
    </w:p>
    <w:p w14:paraId="0BB72B75">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（三）合同</w:t>
      </w:r>
    </w:p>
    <w:p w14:paraId="61324E49">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lang w:eastAsia="zh-CN"/>
        </w:rPr>
      </w:pPr>
      <w:r>
        <w:rPr>
          <w:rFonts w:hint="eastAsia" w:ascii="方正仿宋_GBK" w:hAnsi="方正仿宋_GBK" w:eastAsia="方正仿宋_GBK" w:cs="方正仿宋_GBK"/>
          <w:bCs/>
          <w:sz w:val="28"/>
          <w:szCs w:val="28"/>
        </w:rPr>
        <w:t>（四）</w:t>
      </w:r>
      <w:r>
        <w:rPr>
          <w:rFonts w:hint="eastAsia" w:ascii="方正仿宋_GBK" w:hAnsi="方正仿宋_GBK" w:eastAsia="方正仿宋_GBK" w:cs="方正仿宋_GBK"/>
          <w:bCs/>
          <w:sz w:val="28"/>
          <w:szCs w:val="28"/>
          <w:lang w:eastAsia="zh-CN"/>
        </w:rPr>
        <w:t>成交通知书</w:t>
      </w:r>
    </w:p>
    <w:p w14:paraId="0B70C7A8">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（五）招标文件</w:t>
      </w:r>
    </w:p>
    <w:p w14:paraId="2250A8D6">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（六）投标文件</w:t>
      </w:r>
    </w:p>
    <w:p w14:paraId="1015975A">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（七）经双方确认的其他文件</w:t>
      </w:r>
    </w:p>
    <w:p w14:paraId="543263D4">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如果合同文件之间存在矛盾或不一致之处，以上述文件的排列顺序在先者为准。</w:t>
      </w:r>
    </w:p>
    <w:p w14:paraId="00FB1C0E">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69" w:name="_Toc740"/>
      <w:bookmarkStart w:id="570" w:name="_Toc512156448"/>
      <w:bookmarkStart w:id="571" w:name="_Toc22050"/>
      <w:bookmarkStart w:id="572" w:name="_Toc26394"/>
      <w:bookmarkStart w:id="573" w:name="_Toc25092"/>
      <w:r>
        <w:rPr>
          <w:rFonts w:hint="eastAsia" w:ascii="方正仿宋_GBK" w:hAnsi="方正仿宋_GBK" w:eastAsia="方正仿宋_GBK" w:cs="方正仿宋_GBK"/>
          <w:bCs/>
          <w:sz w:val="28"/>
          <w:szCs w:val="28"/>
        </w:rPr>
        <w:t>三、合同形式、价款、规格型号、数量、品牌等</w:t>
      </w:r>
      <w:bookmarkEnd w:id="569"/>
      <w:bookmarkEnd w:id="570"/>
      <w:bookmarkEnd w:id="571"/>
      <w:bookmarkEnd w:id="572"/>
      <w:bookmarkEnd w:id="573"/>
    </w:p>
    <w:p w14:paraId="7439E21D">
      <w:pPr>
        <w:keepNext w:val="0"/>
        <w:keepLines w:val="0"/>
        <w:pageBreakBefore w:val="0"/>
        <w:kinsoku/>
        <w:wordWrap/>
        <w:overflowPunct/>
        <w:topLinePunct w:val="0"/>
        <w:autoSpaceDE/>
        <w:autoSpaceDN/>
        <w:bidi w:val="0"/>
        <w:spacing w:line="400" w:lineRule="exact"/>
        <w:ind w:firstLine="560" w:firstLineChars="200"/>
        <w:textAlignment w:val="auto"/>
        <w:rPr>
          <w:rFonts w:hint="default" w:ascii="方正仿宋_GBK" w:hAnsi="方正仿宋_GBK" w:eastAsia="方正仿宋_GBK" w:cs="方正仿宋_GBK"/>
          <w:bCs/>
          <w:sz w:val="28"/>
          <w:szCs w:val="28"/>
          <w:lang w:val="en-US" w:eastAsia="zh-CN"/>
        </w:rPr>
      </w:pPr>
      <w:r>
        <w:rPr>
          <w:rFonts w:hint="eastAsia" w:ascii="方正仿宋_GBK" w:hAnsi="方正仿宋_GBK" w:eastAsia="方正仿宋_GBK" w:cs="方正仿宋_GBK"/>
          <w:bCs/>
          <w:sz w:val="28"/>
          <w:szCs w:val="28"/>
        </w:rPr>
        <w:t>（一）合同价格形式：</w:t>
      </w:r>
      <w:r>
        <w:rPr>
          <w:rFonts w:hint="eastAsia" w:ascii="方正仿宋_GBK" w:hAnsi="方正仿宋_GBK" w:eastAsia="方正仿宋_GBK" w:cs="方正仿宋_GBK"/>
          <w:bCs/>
          <w:sz w:val="28"/>
          <w:szCs w:val="28"/>
          <w:lang w:val="en-US" w:eastAsia="zh-CN"/>
        </w:rPr>
        <w:t>单价合同。</w:t>
      </w:r>
    </w:p>
    <w:p w14:paraId="3ADF00C5">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lang w:val="en-US" w:eastAsia="zh-CN"/>
        </w:rPr>
      </w:pPr>
      <w:r>
        <w:rPr>
          <w:rFonts w:hint="eastAsia" w:ascii="方正仿宋_GBK" w:hAnsi="方正仿宋_GBK" w:eastAsia="方正仿宋_GBK" w:cs="方正仿宋_GBK"/>
          <w:bCs/>
          <w:sz w:val="28"/>
          <w:szCs w:val="28"/>
          <w:lang w:val="en-US" w:eastAsia="zh-CN"/>
        </w:rPr>
        <w:t>（二）本合同不含税总金额为人民币：</w:t>
      </w:r>
      <w:r>
        <w:rPr>
          <w:rFonts w:hint="eastAsia" w:ascii="方正仿宋_GBK" w:hAnsi="方正仿宋_GBK" w:eastAsia="方正仿宋_GBK" w:cs="方正仿宋_GBK"/>
          <w:bCs/>
          <w:sz w:val="28"/>
          <w:szCs w:val="28"/>
          <w:u w:val="single"/>
          <w:lang w:val="en-US" w:eastAsia="zh-CN"/>
        </w:rPr>
        <w:t xml:space="preserve">                   </w:t>
      </w:r>
      <w:r>
        <w:rPr>
          <w:rFonts w:hint="eastAsia" w:ascii="方正仿宋_GBK" w:hAnsi="方正仿宋_GBK" w:eastAsia="方正仿宋_GBK" w:cs="方正仿宋_GBK"/>
          <w:bCs/>
          <w:sz w:val="28"/>
          <w:szCs w:val="28"/>
          <w:lang w:val="en-US" w:eastAsia="zh-CN"/>
        </w:rPr>
        <w:t>元（大写：</w:t>
      </w:r>
      <w:r>
        <w:rPr>
          <w:rFonts w:hint="eastAsia" w:ascii="方正仿宋_GBK" w:hAnsi="方正仿宋_GBK" w:eastAsia="方正仿宋_GBK" w:cs="方正仿宋_GBK"/>
          <w:bCs/>
          <w:sz w:val="28"/>
          <w:szCs w:val="28"/>
          <w:u w:val="single"/>
          <w:lang w:val="en-US" w:eastAsia="zh-CN"/>
        </w:rPr>
        <w:t xml:space="preserve">                 元整</w:t>
      </w:r>
      <w:r>
        <w:rPr>
          <w:rFonts w:hint="eastAsia" w:ascii="方正仿宋_GBK" w:hAnsi="方正仿宋_GBK" w:eastAsia="方正仿宋_GBK" w:cs="方正仿宋_GBK"/>
          <w:bCs/>
          <w:sz w:val="28"/>
          <w:szCs w:val="28"/>
          <w:lang w:val="en-US" w:eastAsia="zh-CN"/>
        </w:rPr>
        <w:t>），含税总金额为人民币：</w:t>
      </w:r>
      <w:r>
        <w:rPr>
          <w:rFonts w:hint="eastAsia" w:ascii="方正仿宋_GBK" w:hAnsi="方正仿宋_GBK" w:eastAsia="方正仿宋_GBK" w:cs="方正仿宋_GBK"/>
          <w:bCs/>
          <w:sz w:val="28"/>
          <w:szCs w:val="28"/>
          <w:u w:val="single"/>
          <w:lang w:val="en-US" w:eastAsia="zh-CN"/>
        </w:rPr>
        <w:t xml:space="preserve">               </w:t>
      </w:r>
      <w:r>
        <w:rPr>
          <w:rFonts w:hint="eastAsia" w:ascii="方正仿宋_GBK" w:hAnsi="方正仿宋_GBK" w:eastAsia="方正仿宋_GBK" w:cs="方正仿宋_GBK"/>
          <w:bCs/>
          <w:sz w:val="28"/>
          <w:szCs w:val="28"/>
          <w:lang w:val="en-US" w:eastAsia="zh-CN"/>
        </w:rPr>
        <w:t>元（大写：</w:t>
      </w:r>
      <w:r>
        <w:rPr>
          <w:rFonts w:hint="eastAsia" w:ascii="方正仿宋_GBK" w:hAnsi="方正仿宋_GBK" w:eastAsia="方正仿宋_GBK" w:cs="方正仿宋_GBK"/>
          <w:bCs/>
          <w:sz w:val="28"/>
          <w:szCs w:val="28"/>
          <w:u w:val="single"/>
          <w:lang w:val="en-US" w:eastAsia="zh-CN"/>
        </w:rPr>
        <w:t xml:space="preserve">                   元整</w:t>
      </w:r>
      <w:r>
        <w:rPr>
          <w:rFonts w:hint="eastAsia" w:ascii="方正仿宋_GBK" w:hAnsi="方正仿宋_GBK" w:eastAsia="方正仿宋_GBK" w:cs="方正仿宋_GBK"/>
          <w:bCs/>
          <w:sz w:val="28"/>
          <w:szCs w:val="28"/>
          <w:lang w:val="en-US" w:eastAsia="zh-CN"/>
        </w:rPr>
        <w:t>），增值税税率（13%），按照实际供货总量进行结算。如合同执行期间国家增值税率调整，合同金额=不含税价格×（1+国家最新税率）（四舍五入保留两位小数）。</w:t>
      </w:r>
    </w:p>
    <w:p w14:paraId="5E7D9F2D">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lang w:val="en-US" w:eastAsia="zh-CN"/>
        </w:rPr>
        <w:t>（三）合同价格包含卖方将合同设备运抵交货地点并履行完合同义务所需的全部费用，包括但不限于合同设备价款、税费、技术资料费、技术服务费、保险费、包装、运输费（货到招标人指定现场交货）、调试、培训、售后服务、标记及卖方提供保护措施的费用等。</w:t>
      </w:r>
    </w:p>
    <w:p w14:paraId="10303891">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（四）设备名称、规格型号、数量、价格、品牌等如下：</w:t>
      </w:r>
    </w:p>
    <w:p w14:paraId="714AABA5">
      <w:pPr>
        <w:pStyle w:val="2"/>
        <w:rPr>
          <w:rFonts w:hint="eastAsia" w:ascii="方正仿宋_GBK" w:hAnsi="方正仿宋_GBK" w:eastAsia="方正仿宋_GBK" w:cs="方正仿宋_GBK"/>
          <w:bCs/>
          <w:sz w:val="28"/>
          <w:szCs w:val="28"/>
        </w:rPr>
      </w:pPr>
    </w:p>
    <w:p w14:paraId="390FF8E0">
      <w:pPr>
        <w:rPr>
          <w:rFonts w:hint="eastAsia"/>
        </w:rPr>
      </w:pPr>
    </w:p>
    <w:p w14:paraId="4CFD1854"/>
    <w:tbl>
      <w:tblPr>
        <w:tblStyle w:val="40"/>
        <w:tblW w:w="10641" w:type="dxa"/>
        <w:jc w:val="center"/>
        <w:tblLayout w:type="fixed"/>
        <w:tblCellMar>
          <w:top w:w="15" w:type="dxa"/>
          <w:left w:w="15" w:type="dxa"/>
          <w:bottom w:w="15" w:type="dxa"/>
          <w:right w:w="15" w:type="dxa"/>
        </w:tblCellMar>
      </w:tblPr>
      <w:tblGrid>
        <w:gridCol w:w="612"/>
        <w:gridCol w:w="1727"/>
        <w:gridCol w:w="1787"/>
        <w:gridCol w:w="583"/>
        <w:gridCol w:w="587"/>
        <w:gridCol w:w="1261"/>
        <w:gridCol w:w="1215"/>
        <w:gridCol w:w="1100"/>
        <w:gridCol w:w="1769"/>
      </w:tblGrid>
      <w:tr w14:paraId="6A330F8C">
        <w:tblPrEx>
          <w:tblCellMar>
            <w:top w:w="15" w:type="dxa"/>
            <w:left w:w="15" w:type="dxa"/>
            <w:bottom w:w="15" w:type="dxa"/>
            <w:right w:w="15" w:type="dxa"/>
          </w:tblCellMar>
        </w:tblPrEx>
        <w:trPr>
          <w:trHeight w:val="367" w:hRule="atLeast"/>
          <w:jc w:val="center"/>
        </w:trPr>
        <w:tc>
          <w:tcPr>
            <w:tcW w:w="612" w:type="dxa"/>
            <w:vMerge w:val="restart"/>
            <w:tcBorders>
              <w:top w:val="single" w:color="000000" w:sz="4" w:space="0"/>
              <w:left w:val="single" w:color="000000" w:sz="4" w:space="0"/>
              <w:bottom w:val="single" w:color="000000" w:sz="4" w:space="0"/>
              <w:right w:val="single" w:color="000000" w:sz="4" w:space="0"/>
            </w:tcBorders>
            <w:vAlign w:val="center"/>
          </w:tcPr>
          <w:p w14:paraId="19A5D993">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序号</w:t>
            </w:r>
          </w:p>
        </w:tc>
        <w:tc>
          <w:tcPr>
            <w:tcW w:w="1727" w:type="dxa"/>
            <w:vMerge w:val="restart"/>
            <w:tcBorders>
              <w:top w:val="single" w:color="000000" w:sz="4" w:space="0"/>
              <w:left w:val="single" w:color="000000" w:sz="4" w:space="0"/>
              <w:bottom w:val="single" w:color="000000" w:sz="4" w:space="0"/>
              <w:right w:val="single" w:color="000000" w:sz="4" w:space="0"/>
            </w:tcBorders>
            <w:vAlign w:val="center"/>
          </w:tcPr>
          <w:p w14:paraId="2F570B97">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设备名称</w:t>
            </w:r>
          </w:p>
        </w:tc>
        <w:tc>
          <w:tcPr>
            <w:tcW w:w="1787" w:type="dxa"/>
            <w:vMerge w:val="restart"/>
            <w:tcBorders>
              <w:top w:val="single" w:color="000000" w:sz="4" w:space="0"/>
              <w:left w:val="single" w:color="000000" w:sz="4" w:space="0"/>
              <w:bottom w:val="single" w:color="000000" w:sz="4" w:space="0"/>
              <w:right w:val="single" w:color="000000" w:sz="4" w:space="0"/>
            </w:tcBorders>
            <w:vAlign w:val="center"/>
          </w:tcPr>
          <w:p w14:paraId="6D03CE9C">
            <w:pPr>
              <w:keepNext w:val="0"/>
              <w:keepLines w:val="0"/>
              <w:pageBreakBefore w:val="0"/>
              <w:widowControl/>
              <w:kinsoku/>
              <w:wordWrap/>
              <w:overflowPunct/>
              <w:topLinePunct w:val="0"/>
              <w:autoSpaceDE/>
              <w:autoSpaceDN/>
              <w:bidi w:val="0"/>
              <w:spacing w:line="400" w:lineRule="exact"/>
              <w:jc w:val="center"/>
              <w:textAlignment w:val="auto"/>
              <w:rPr>
                <w:rFonts w:hint="eastAsia" w:ascii="宋体" w:hAnsi="宋体" w:cs="宋体"/>
                <w:b w:val="0"/>
                <w:bCs w:val="0"/>
                <w:szCs w:val="21"/>
              </w:rPr>
            </w:pPr>
            <w:r>
              <w:rPr>
                <w:rFonts w:hint="eastAsia" w:ascii="宋体" w:hAnsi="宋体" w:cs="宋体"/>
                <w:b w:val="0"/>
                <w:bCs w:val="0"/>
                <w:szCs w:val="21"/>
              </w:rPr>
              <w:t>规格型号、</w:t>
            </w:r>
          </w:p>
          <w:p w14:paraId="3C7A8620">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技术参数</w:t>
            </w:r>
          </w:p>
        </w:tc>
        <w:tc>
          <w:tcPr>
            <w:tcW w:w="583" w:type="dxa"/>
            <w:vMerge w:val="restart"/>
            <w:tcBorders>
              <w:top w:val="single" w:color="000000" w:sz="4" w:space="0"/>
              <w:left w:val="single" w:color="000000" w:sz="4" w:space="0"/>
              <w:bottom w:val="single" w:color="000000" w:sz="4" w:space="0"/>
              <w:right w:val="single" w:color="000000" w:sz="4" w:space="0"/>
            </w:tcBorders>
            <w:vAlign w:val="center"/>
          </w:tcPr>
          <w:p w14:paraId="409CD042">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单位</w:t>
            </w:r>
          </w:p>
        </w:tc>
        <w:tc>
          <w:tcPr>
            <w:tcW w:w="587" w:type="dxa"/>
            <w:vMerge w:val="restart"/>
            <w:tcBorders>
              <w:top w:val="single" w:color="000000" w:sz="4" w:space="0"/>
              <w:left w:val="single" w:color="000000" w:sz="4" w:space="0"/>
              <w:bottom w:val="single" w:color="000000" w:sz="4" w:space="0"/>
              <w:right w:val="single" w:color="000000" w:sz="4" w:space="0"/>
            </w:tcBorders>
            <w:vAlign w:val="center"/>
          </w:tcPr>
          <w:p w14:paraId="6123AC72">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数量</w:t>
            </w:r>
          </w:p>
        </w:tc>
        <w:tc>
          <w:tcPr>
            <w:tcW w:w="2476" w:type="dxa"/>
            <w:gridSpan w:val="2"/>
            <w:tcBorders>
              <w:top w:val="single" w:color="000000" w:sz="4" w:space="0"/>
              <w:left w:val="single" w:color="000000" w:sz="4" w:space="0"/>
              <w:bottom w:val="single" w:color="000000" w:sz="4" w:space="0"/>
              <w:right w:val="single" w:color="000000" w:sz="4" w:space="0"/>
            </w:tcBorders>
            <w:vAlign w:val="center"/>
          </w:tcPr>
          <w:p w14:paraId="4AD94718">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含税价格（元）</w:t>
            </w:r>
          </w:p>
        </w:tc>
        <w:tc>
          <w:tcPr>
            <w:tcW w:w="1100" w:type="dxa"/>
            <w:vMerge w:val="restart"/>
            <w:tcBorders>
              <w:top w:val="single" w:color="000000" w:sz="4" w:space="0"/>
              <w:left w:val="single" w:color="000000" w:sz="4" w:space="0"/>
              <w:bottom w:val="single" w:color="000000" w:sz="4" w:space="0"/>
              <w:right w:val="single" w:color="000000" w:sz="4" w:space="0"/>
            </w:tcBorders>
            <w:vAlign w:val="center"/>
          </w:tcPr>
          <w:p w14:paraId="28428F43">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品牌或</w:t>
            </w:r>
          </w:p>
          <w:p w14:paraId="0F8F8081">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制造商</w:t>
            </w:r>
          </w:p>
        </w:tc>
        <w:tc>
          <w:tcPr>
            <w:tcW w:w="1769" w:type="dxa"/>
            <w:vMerge w:val="restart"/>
            <w:tcBorders>
              <w:top w:val="single" w:color="000000" w:sz="4" w:space="0"/>
              <w:left w:val="single" w:color="000000" w:sz="4" w:space="0"/>
              <w:right w:val="single" w:color="000000" w:sz="4" w:space="0"/>
            </w:tcBorders>
            <w:vAlign w:val="center"/>
          </w:tcPr>
          <w:p w14:paraId="6C23D2FA">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备注</w:t>
            </w:r>
          </w:p>
        </w:tc>
      </w:tr>
      <w:tr w14:paraId="3A6698AE">
        <w:tblPrEx>
          <w:tblCellMar>
            <w:top w:w="15" w:type="dxa"/>
            <w:left w:w="15" w:type="dxa"/>
            <w:bottom w:w="15" w:type="dxa"/>
            <w:right w:w="15" w:type="dxa"/>
          </w:tblCellMar>
        </w:tblPrEx>
        <w:trPr>
          <w:trHeight w:val="90" w:hRule="atLeast"/>
          <w:jc w:val="center"/>
        </w:trPr>
        <w:tc>
          <w:tcPr>
            <w:tcW w:w="612" w:type="dxa"/>
            <w:vMerge w:val="continue"/>
            <w:tcBorders>
              <w:top w:val="single" w:color="000000" w:sz="4" w:space="0"/>
              <w:left w:val="single" w:color="000000" w:sz="4" w:space="0"/>
              <w:bottom w:val="single" w:color="000000" w:sz="4" w:space="0"/>
              <w:right w:val="single" w:color="000000" w:sz="4" w:space="0"/>
            </w:tcBorders>
            <w:vAlign w:val="center"/>
          </w:tcPr>
          <w:p w14:paraId="46362529">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c>
          <w:tcPr>
            <w:tcW w:w="1727" w:type="dxa"/>
            <w:vMerge w:val="continue"/>
            <w:tcBorders>
              <w:top w:val="single" w:color="000000" w:sz="4" w:space="0"/>
              <w:left w:val="single" w:color="000000" w:sz="4" w:space="0"/>
              <w:bottom w:val="single" w:color="000000" w:sz="4" w:space="0"/>
              <w:right w:val="single" w:color="000000" w:sz="4" w:space="0"/>
            </w:tcBorders>
            <w:vAlign w:val="center"/>
          </w:tcPr>
          <w:p w14:paraId="31CE6EDF">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c>
          <w:tcPr>
            <w:tcW w:w="1787" w:type="dxa"/>
            <w:vMerge w:val="continue"/>
            <w:tcBorders>
              <w:top w:val="single" w:color="000000" w:sz="4" w:space="0"/>
              <w:left w:val="single" w:color="000000" w:sz="4" w:space="0"/>
              <w:bottom w:val="single" w:color="000000" w:sz="4" w:space="0"/>
              <w:right w:val="single" w:color="000000" w:sz="4" w:space="0"/>
            </w:tcBorders>
            <w:vAlign w:val="center"/>
          </w:tcPr>
          <w:p w14:paraId="4D708A6E">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c>
          <w:tcPr>
            <w:tcW w:w="583" w:type="dxa"/>
            <w:vMerge w:val="continue"/>
            <w:tcBorders>
              <w:top w:val="single" w:color="000000" w:sz="4" w:space="0"/>
              <w:left w:val="single" w:color="000000" w:sz="4" w:space="0"/>
              <w:bottom w:val="single" w:color="000000" w:sz="4" w:space="0"/>
              <w:right w:val="single" w:color="000000" w:sz="4" w:space="0"/>
            </w:tcBorders>
            <w:vAlign w:val="center"/>
          </w:tcPr>
          <w:p w14:paraId="0D62C31C">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c>
          <w:tcPr>
            <w:tcW w:w="587" w:type="dxa"/>
            <w:vMerge w:val="continue"/>
            <w:tcBorders>
              <w:top w:val="single" w:color="000000" w:sz="4" w:space="0"/>
              <w:left w:val="single" w:color="000000" w:sz="4" w:space="0"/>
              <w:bottom w:val="single" w:color="000000" w:sz="4" w:space="0"/>
              <w:right w:val="single" w:color="000000" w:sz="4" w:space="0"/>
            </w:tcBorders>
            <w:vAlign w:val="center"/>
          </w:tcPr>
          <w:p w14:paraId="36940CA7">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c>
          <w:tcPr>
            <w:tcW w:w="1261" w:type="dxa"/>
            <w:tcBorders>
              <w:top w:val="single" w:color="000000" w:sz="4" w:space="0"/>
              <w:left w:val="single" w:color="000000" w:sz="4" w:space="0"/>
              <w:bottom w:val="single" w:color="000000" w:sz="4" w:space="0"/>
              <w:right w:val="single" w:color="000000" w:sz="4" w:space="0"/>
            </w:tcBorders>
            <w:vAlign w:val="center"/>
          </w:tcPr>
          <w:p w14:paraId="50D90464">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单价</w:t>
            </w:r>
          </w:p>
        </w:tc>
        <w:tc>
          <w:tcPr>
            <w:tcW w:w="1215" w:type="dxa"/>
            <w:tcBorders>
              <w:top w:val="single" w:color="000000" w:sz="4" w:space="0"/>
              <w:left w:val="single" w:color="000000" w:sz="4" w:space="0"/>
              <w:bottom w:val="single" w:color="000000" w:sz="4" w:space="0"/>
              <w:right w:val="single" w:color="000000" w:sz="4" w:space="0"/>
            </w:tcBorders>
            <w:vAlign w:val="center"/>
          </w:tcPr>
          <w:p w14:paraId="0068E4B9">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r>
              <w:rPr>
                <w:rFonts w:hint="eastAsia" w:ascii="宋体" w:hAnsi="宋体" w:cs="宋体"/>
                <w:b w:val="0"/>
                <w:bCs w:val="0"/>
                <w:szCs w:val="21"/>
              </w:rPr>
              <w:t>合价</w:t>
            </w:r>
          </w:p>
        </w:tc>
        <w:tc>
          <w:tcPr>
            <w:tcW w:w="1100" w:type="dxa"/>
            <w:vMerge w:val="continue"/>
            <w:tcBorders>
              <w:top w:val="single" w:color="000000" w:sz="4" w:space="0"/>
              <w:left w:val="single" w:color="000000" w:sz="4" w:space="0"/>
              <w:bottom w:val="single" w:color="auto" w:sz="4" w:space="0"/>
              <w:right w:val="single" w:color="000000" w:sz="4" w:space="0"/>
            </w:tcBorders>
            <w:vAlign w:val="center"/>
          </w:tcPr>
          <w:p w14:paraId="7C45C394">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c>
          <w:tcPr>
            <w:tcW w:w="1769" w:type="dxa"/>
            <w:vMerge w:val="continue"/>
            <w:tcBorders>
              <w:left w:val="single" w:color="000000" w:sz="4" w:space="0"/>
              <w:bottom w:val="single" w:color="000000" w:sz="4" w:space="0"/>
              <w:right w:val="single" w:color="000000" w:sz="4" w:space="0"/>
            </w:tcBorders>
            <w:vAlign w:val="center"/>
          </w:tcPr>
          <w:p w14:paraId="646CCDE1">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r>
      <w:tr w14:paraId="0CECD135">
        <w:tblPrEx>
          <w:tblCellMar>
            <w:top w:w="15" w:type="dxa"/>
            <w:left w:w="15" w:type="dxa"/>
            <w:bottom w:w="15" w:type="dxa"/>
            <w:right w:w="15" w:type="dxa"/>
          </w:tblCellMar>
        </w:tblPrEx>
        <w:trPr>
          <w:trHeight w:val="340" w:hRule="atLeast"/>
          <w:jc w:val="center"/>
        </w:trPr>
        <w:tc>
          <w:tcPr>
            <w:tcW w:w="612" w:type="dxa"/>
            <w:tcBorders>
              <w:top w:val="single" w:color="000000" w:sz="4" w:space="0"/>
              <w:left w:val="single" w:color="000000" w:sz="4" w:space="0"/>
              <w:bottom w:val="single" w:color="000000" w:sz="4" w:space="0"/>
              <w:right w:val="single" w:color="000000" w:sz="4" w:space="0"/>
            </w:tcBorders>
            <w:vAlign w:val="center"/>
          </w:tcPr>
          <w:p w14:paraId="60845BE8">
            <w:pPr>
              <w:keepNext w:val="0"/>
              <w:keepLines w:val="0"/>
              <w:pageBreakBefore w:val="0"/>
              <w:widowControl/>
              <w:kinsoku/>
              <w:wordWrap/>
              <w:overflowPunct/>
              <w:topLinePunct w:val="0"/>
              <w:autoSpaceDE/>
              <w:autoSpaceDN/>
              <w:bidi w:val="0"/>
              <w:spacing w:line="400" w:lineRule="exact"/>
              <w:jc w:val="center"/>
              <w:textAlignment w:val="auto"/>
              <w:rPr>
                <w:rFonts w:hint="eastAsia" w:ascii="宋体" w:hAnsi="宋体" w:eastAsia="宋体" w:cs="宋体"/>
                <w:b w:val="0"/>
                <w:bCs w:val="0"/>
                <w:szCs w:val="21"/>
              </w:rPr>
            </w:pPr>
            <w:r>
              <w:rPr>
                <w:rFonts w:hint="eastAsia" w:ascii="宋体" w:hAnsi="宋体" w:eastAsia="宋体" w:cs="宋体"/>
                <w:b w:val="0"/>
                <w:bCs w:val="0"/>
                <w:szCs w:val="21"/>
              </w:rPr>
              <w:t>1</w:t>
            </w:r>
          </w:p>
        </w:tc>
        <w:tc>
          <w:tcPr>
            <w:tcW w:w="1727" w:type="dxa"/>
            <w:tcBorders>
              <w:top w:val="single" w:color="000000" w:sz="4" w:space="0"/>
              <w:left w:val="single" w:color="000000" w:sz="4" w:space="0"/>
              <w:bottom w:val="single" w:color="000000" w:sz="4" w:space="0"/>
              <w:right w:val="single" w:color="000000" w:sz="4" w:space="0"/>
            </w:tcBorders>
            <w:vAlign w:val="center"/>
          </w:tcPr>
          <w:p w14:paraId="78D1DCF1">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10E0D47E">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3" w:type="dxa"/>
            <w:tcBorders>
              <w:top w:val="single" w:color="000000" w:sz="4" w:space="0"/>
              <w:left w:val="single" w:color="000000" w:sz="4" w:space="0"/>
              <w:bottom w:val="single" w:color="000000" w:sz="4" w:space="0"/>
              <w:right w:val="single" w:color="000000" w:sz="4" w:space="0"/>
            </w:tcBorders>
            <w:vAlign w:val="center"/>
          </w:tcPr>
          <w:p w14:paraId="72584B59">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7" w:type="dxa"/>
            <w:tcBorders>
              <w:top w:val="single" w:color="000000" w:sz="4" w:space="0"/>
              <w:left w:val="single" w:color="000000" w:sz="4" w:space="0"/>
              <w:bottom w:val="single" w:color="000000" w:sz="4" w:space="0"/>
              <w:right w:val="single" w:color="000000" w:sz="4" w:space="0"/>
            </w:tcBorders>
            <w:vAlign w:val="center"/>
          </w:tcPr>
          <w:p w14:paraId="1B30F065">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61" w:type="dxa"/>
            <w:tcBorders>
              <w:top w:val="single" w:color="000000" w:sz="4" w:space="0"/>
              <w:left w:val="single" w:color="000000" w:sz="4" w:space="0"/>
              <w:bottom w:val="single" w:color="000000" w:sz="4" w:space="0"/>
              <w:right w:val="single" w:color="000000" w:sz="4" w:space="0"/>
            </w:tcBorders>
            <w:vAlign w:val="center"/>
          </w:tcPr>
          <w:p w14:paraId="3657D5DF">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87320CD">
            <w:pPr>
              <w:keepNext w:val="0"/>
              <w:keepLines w:val="0"/>
              <w:widowControl/>
              <w:suppressLineNumbers w:val="0"/>
              <w:jc w:val="center"/>
              <w:textAlignment w:val="center"/>
              <w:rPr>
                <w:rFonts w:hint="default" w:ascii="宋体" w:hAnsi="宋体" w:eastAsia="宋体" w:cs="宋体"/>
                <w:b w:val="0"/>
                <w:bCs w:val="0"/>
                <w:szCs w:val="21"/>
                <w:lang w:val="en-US" w:eastAsia="zh-CN"/>
              </w:rPr>
            </w:pPr>
          </w:p>
        </w:tc>
        <w:tc>
          <w:tcPr>
            <w:tcW w:w="1100" w:type="dxa"/>
            <w:vMerge w:val="restart"/>
            <w:tcBorders>
              <w:top w:val="single" w:color="auto" w:sz="4" w:space="0"/>
              <w:left w:val="single" w:color="000000" w:sz="4" w:space="0"/>
              <w:right w:val="single" w:color="000000" w:sz="4" w:space="0"/>
            </w:tcBorders>
            <w:vAlign w:val="center"/>
          </w:tcPr>
          <w:p w14:paraId="4CE549DC">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82090">
            <w:pPr>
              <w:keepNext w:val="0"/>
              <w:keepLines w:val="0"/>
              <w:pageBreakBefore w:val="0"/>
              <w:widowControl/>
              <w:kinsoku/>
              <w:wordWrap/>
              <w:overflowPunct/>
              <w:topLinePunct w:val="0"/>
              <w:autoSpaceDE/>
              <w:autoSpaceDN/>
              <w:bidi w:val="0"/>
              <w:spacing w:line="400" w:lineRule="exact"/>
              <w:jc w:val="left"/>
              <w:textAlignment w:val="auto"/>
              <w:rPr>
                <w:rFonts w:hint="default" w:ascii="宋体" w:hAnsi="宋体" w:eastAsia="宋体" w:cs="宋体"/>
                <w:b w:val="0"/>
                <w:bCs w:val="0"/>
                <w:szCs w:val="21"/>
                <w:lang w:val="en-US" w:eastAsia="zh-CN"/>
              </w:rPr>
            </w:pPr>
          </w:p>
        </w:tc>
      </w:tr>
      <w:tr w14:paraId="1227ACD7">
        <w:tblPrEx>
          <w:tblCellMar>
            <w:top w:w="15" w:type="dxa"/>
            <w:left w:w="15" w:type="dxa"/>
            <w:bottom w:w="15" w:type="dxa"/>
            <w:right w:w="15" w:type="dxa"/>
          </w:tblCellMar>
        </w:tblPrEx>
        <w:trPr>
          <w:trHeight w:val="340" w:hRule="atLeast"/>
          <w:jc w:val="center"/>
        </w:trPr>
        <w:tc>
          <w:tcPr>
            <w:tcW w:w="612" w:type="dxa"/>
            <w:tcBorders>
              <w:top w:val="single" w:color="000000" w:sz="4" w:space="0"/>
              <w:left w:val="single" w:color="000000" w:sz="4" w:space="0"/>
              <w:bottom w:val="single" w:color="000000" w:sz="4" w:space="0"/>
              <w:right w:val="single" w:color="000000" w:sz="4" w:space="0"/>
            </w:tcBorders>
            <w:vAlign w:val="center"/>
          </w:tcPr>
          <w:p w14:paraId="1B3612BD">
            <w:pPr>
              <w:keepNext w:val="0"/>
              <w:keepLines w:val="0"/>
              <w:pageBreakBefore w:val="0"/>
              <w:widowControl/>
              <w:kinsoku/>
              <w:wordWrap/>
              <w:overflowPunct/>
              <w:topLinePunct w:val="0"/>
              <w:autoSpaceDE/>
              <w:autoSpaceDN/>
              <w:bidi w:val="0"/>
              <w:spacing w:line="400" w:lineRule="exact"/>
              <w:jc w:val="center"/>
              <w:textAlignment w:val="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w:t>
            </w:r>
          </w:p>
        </w:tc>
        <w:tc>
          <w:tcPr>
            <w:tcW w:w="1727" w:type="dxa"/>
            <w:tcBorders>
              <w:top w:val="single" w:color="000000" w:sz="4" w:space="0"/>
              <w:left w:val="single" w:color="000000" w:sz="4" w:space="0"/>
              <w:bottom w:val="single" w:color="000000" w:sz="4" w:space="0"/>
              <w:right w:val="single" w:color="000000" w:sz="4" w:space="0"/>
            </w:tcBorders>
            <w:vAlign w:val="center"/>
          </w:tcPr>
          <w:p w14:paraId="71792D0B">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7F4D7">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3" w:type="dxa"/>
            <w:tcBorders>
              <w:top w:val="single" w:color="000000" w:sz="4" w:space="0"/>
              <w:left w:val="single" w:color="000000" w:sz="4" w:space="0"/>
              <w:bottom w:val="single" w:color="000000" w:sz="4" w:space="0"/>
              <w:right w:val="single" w:color="000000" w:sz="4" w:space="0"/>
            </w:tcBorders>
            <w:vAlign w:val="center"/>
          </w:tcPr>
          <w:p w14:paraId="751EE790">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7" w:type="dxa"/>
            <w:tcBorders>
              <w:top w:val="single" w:color="000000" w:sz="4" w:space="0"/>
              <w:left w:val="single" w:color="000000" w:sz="4" w:space="0"/>
              <w:bottom w:val="single" w:color="000000" w:sz="4" w:space="0"/>
              <w:right w:val="single" w:color="000000" w:sz="4" w:space="0"/>
            </w:tcBorders>
            <w:vAlign w:val="center"/>
          </w:tcPr>
          <w:p w14:paraId="46983F9B">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61" w:type="dxa"/>
            <w:tcBorders>
              <w:top w:val="single" w:color="000000" w:sz="4" w:space="0"/>
              <w:left w:val="single" w:color="000000" w:sz="4" w:space="0"/>
              <w:bottom w:val="single" w:color="000000" w:sz="4" w:space="0"/>
              <w:right w:val="single" w:color="000000" w:sz="4" w:space="0"/>
            </w:tcBorders>
            <w:vAlign w:val="center"/>
          </w:tcPr>
          <w:p w14:paraId="1C15364E">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69A28D3D">
            <w:pPr>
              <w:keepNext w:val="0"/>
              <w:keepLines w:val="0"/>
              <w:widowControl/>
              <w:suppressLineNumbers w:val="0"/>
              <w:jc w:val="center"/>
              <w:textAlignment w:val="center"/>
              <w:rPr>
                <w:rFonts w:hint="default" w:ascii="宋体" w:hAnsi="宋体" w:eastAsia="宋体" w:cs="宋体"/>
                <w:b w:val="0"/>
                <w:bCs w:val="0"/>
                <w:szCs w:val="21"/>
                <w:lang w:val="en-US" w:eastAsia="zh-CN"/>
              </w:rPr>
            </w:pPr>
          </w:p>
        </w:tc>
        <w:tc>
          <w:tcPr>
            <w:tcW w:w="1100" w:type="dxa"/>
            <w:vMerge w:val="continue"/>
            <w:tcBorders>
              <w:left w:val="single" w:color="000000" w:sz="4" w:space="0"/>
              <w:right w:val="single" w:color="000000" w:sz="4" w:space="0"/>
            </w:tcBorders>
            <w:vAlign w:val="center"/>
          </w:tcPr>
          <w:p w14:paraId="0A026598">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24226">
            <w:pPr>
              <w:keepNext w:val="0"/>
              <w:keepLines w:val="0"/>
              <w:pageBreakBefore w:val="0"/>
              <w:widowControl/>
              <w:kinsoku/>
              <w:wordWrap/>
              <w:overflowPunct/>
              <w:topLinePunct w:val="0"/>
              <w:autoSpaceDE/>
              <w:autoSpaceDN/>
              <w:bidi w:val="0"/>
              <w:spacing w:line="400" w:lineRule="exact"/>
              <w:jc w:val="left"/>
              <w:textAlignment w:val="auto"/>
              <w:rPr>
                <w:rFonts w:hint="default" w:ascii="宋体" w:hAnsi="宋体" w:eastAsia="宋体" w:cs="宋体"/>
                <w:b w:val="0"/>
                <w:bCs w:val="0"/>
                <w:szCs w:val="21"/>
                <w:lang w:val="en-US" w:eastAsia="zh-CN"/>
              </w:rPr>
            </w:pPr>
          </w:p>
        </w:tc>
      </w:tr>
      <w:tr w14:paraId="6E7DCB21">
        <w:tblPrEx>
          <w:tblCellMar>
            <w:top w:w="15" w:type="dxa"/>
            <w:left w:w="15" w:type="dxa"/>
            <w:bottom w:w="15" w:type="dxa"/>
            <w:right w:w="15" w:type="dxa"/>
          </w:tblCellMar>
        </w:tblPrEx>
        <w:trPr>
          <w:trHeight w:val="340" w:hRule="atLeast"/>
          <w:jc w:val="center"/>
        </w:trPr>
        <w:tc>
          <w:tcPr>
            <w:tcW w:w="612" w:type="dxa"/>
            <w:tcBorders>
              <w:top w:val="single" w:color="000000" w:sz="4" w:space="0"/>
              <w:left w:val="single" w:color="000000" w:sz="4" w:space="0"/>
              <w:bottom w:val="single" w:color="000000" w:sz="4" w:space="0"/>
              <w:right w:val="single" w:color="000000" w:sz="4" w:space="0"/>
            </w:tcBorders>
            <w:vAlign w:val="center"/>
          </w:tcPr>
          <w:p w14:paraId="4A8386B4">
            <w:pPr>
              <w:keepNext w:val="0"/>
              <w:keepLines w:val="0"/>
              <w:pageBreakBefore w:val="0"/>
              <w:widowControl/>
              <w:kinsoku/>
              <w:wordWrap/>
              <w:overflowPunct/>
              <w:topLinePunct w:val="0"/>
              <w:autoSpaceDE/>
              <w:autoSpaceDN/>
              <w:bidi w:val="0"/>
              <w:spacing w:line="400" w:lineRule="exact"/>
              <w:jc w:val="center"/>
              <w:textAlignment w:val="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w:t>
            </w:r>
          </w:p>
        </w:tc>
        <w:tc>
          <w:tcPr>
            <w:tcW w:w="1727" w:type="dxa"/>
            <w:tcBorders>
              <w:top w:val="single" w:color="000000" w:sz="4" w:space="0"/>
              <w:left w:val="single" w:color="000000" w:sz="4" w:space="0"/>
              <w:bottom w:val="single" w:color="000000" w:sz="4" w:space="0"/>
              <w:right w:val="single" w:color="000000" w:sz="4" w:space="0"/>
            </w:tcBorders>
            <w:vAlign w:val="center"/>
          </w:tcPr>
          <w:p w14:paraId="49761DDF">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83D5">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3" w:type="dxa"/>
            <w:tcBorders>
              <w:top w:val="single" w:color="000000" w:sz="4" w:space="0"/>
              <w:left w:val="single" w:color="000000" w:sz="4" w:space="0"/>
              <w:bottom w:val="single" w:color="000000" w:sz="4" w:space="0"/>
              <w:right w:val="single" w:color="000000" w:sz="4" w:space="0"/>
            </w:tcBorders>
            <w:vAlign w:val="center"/>
          </w:tcPr>
          <w:p w14:paraId="3231F81A">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7" w:type="dxa"/>
            <w:tcBorders>
              <w:top w:val="single" w:color="000000" w:sz="4" w:space="0"/>
              <w:left w:val="single" w:color="000000" w:sz="4" w:space="0"/>
              <w:bottom w:val="single" w:color="000000" w:sz="4" w:space="0"/>
              <w:right w:val="single" w:color="000000" w:sz="4" w:space="0"/>
            </w:tcBorders>
            <w:vAlign w:val="center"/>
          </w:tcPr>
          <w:p w14:paraId="61353A9E">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61" w:type="dxa"/>
            <w:tcBorders>
              <w:top w:val="single" w:color="000000" w:sz="4" w:space="0"/>
              <w:left w:val="single" w:color="000000" w:sz="4" w:space="0"/>
              <w:bottom w:val="single" w:color="000000" w:sz="4" w:space="0"/>
              <w:right w:val="single" w:color="000000" w:sz="4" w:space="0"/>
            </w:tcBorders>
            <w:vAlign w:val="center"/>
          </w:tcPr>
          <w:p w14:paraId="79544664">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0098B16">
            <w:pPr>
              <w:keepNext w:val="0"/>
              <w:keepLines w:val="0"/>
              <w:widowControl/>
              <w:suppressLineNumbers w:val="0"/>
              <w:jc w:val="center"/>
              <w:textAlignment w:val="center"/>
              <w:rPr>
                <w:rFonts w:hint="default" w:ascii="宋体" w:hAnsi="宋体" w:eastAsia="宋体" w:cs="宋体"/>
                <w:b w:val="0"/>
                <w:bCs w:val="0"/>
                <w:szCs w:val="21"/>
                <w:lang w:val="en-US" w:eastAsia="zh-CN"/>
              </w:rPr>
            </w:pPr>
          </w:p>
        </w:tc>
        <w:tc>
          <w:tcPr>
            <w:tcW w:w="1100" w:type="dxa"/>
            <w:vMerge w:val="continue"/>
            <w:tcBorders>
              <w:left w:val="single" w:color="000000" w:sz="4" w:space="0"/>
              <w:right w:val="single" w:color="000000" w:sz="4" w:space="0"/>
            </w:tcBorders>
            <w:vAlign w:val="center"/>
          </w:tcPr>
          <w:p w14:paraId="62E6B9DD">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D65C">
            <w:pPr>
              <w:keepNext w:val="0"/>
              <w:keepLines w:val="0"/>
              <w:pageBreakBefore w:val="0"/>
              <w:widowControl/>
              <w:kinsoku/>
              <w:wordWrap/>
              <w:overflowPunct/>
              <w:topLinePunct w:val="0"/>
              <w:autoSpaceDE/>
              <w:autoSpaceDN/>
              <w:bidi w:val="0"/>
              <w:spacing w:line="400" w:lineRule="exact"/>
              <w:jc w:val="left"/>
              <w:textAlignment w:val="auto"/>
              <w:rPr>
                <w:rFonts w:hint="default" w:ascii="宋体" w:hAnsi="宋体" w:eastAsia="宋体" w:cs="宋体"/>
                <w:b w:val="0"/>
                <w:bCs w:val="0"/>
                <w:szCs w:val="21"/>
                <w:lang w:val="en-US" w:eastAsia="zh-CN"/>
              </w:rPr>
            </w:pPr>
          </w:p>
        </w:tc>
      </w:tr>
      <w:tr w14:paraId="5DFE2EC5">
        <w:tblPrEx>
          <w:tblCellMar>
            <w:top w:w="15" w:type="dxa"/>
            <w:left w:w="15" w:type="dxa"/>
            <w:bottom w:w="15" w:type="dxa"/>
            <w:right w:w="15" w:type="dxa"/>
          </w:tblCellMar>
        </w:tblPrEx>
        <w:trPr>
          <w:trHeight w:val="340" w:hRule="atLeast"/>
          <w:jc w:val="center"/>
        </w:trPr>
        <w:tc>
          <w:tcPr>
            <w:tcW w:w="612" w:type="dxa"/>
            <w:tcBorders>
              <w:top w:val="single" w:color="000000" w:sz="4" w:space="0"/>
              <w:left w:val="single" w:color="000000" w:sz="4" w:space="0"/>
              <w:bottom w:val="single" w:color="000000" w:sz="4" w:space="0"/>
              <w:right w:val="single" w:color="000000" w:sz="4" w:space="0"/>
            </w:tcBorders>
            <w:vAlign w:val="center"/>
          </w:tcPr>
          <w:p w14:paraId="669F9112">
            <w:pPr>
              <w:keepNext w:val="0"/>
              <w:keepLines w:val="0"/>
              <w:pageBreakBefore w:val="0"/>
              <w:widowControl/>
              <w:kinsoku/>
              <w:wordWrap/>
              <w:overflowPunct/>
              <w:topLinePunct w:val="0"/>
              <w:autoSpaceDE/>
              <w:autoSpaceDN/>
              <w:bidi w:val="0"/>
              <w:spacing w:line="400" w:lineRule="exact"/>
              <w:jc w:val="center"/>
              <w:textAlignment w:val="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w:t>
            </w:r>
          </w:p>
        </w:tc>
        <w:tc>
          <w:tcPr>
            <w:tcW w:w="1727" w:type="dxa"/>
            <w:tcBorders>
              <w:top w:val="single" w:color="000000" w:sz="4" w:space="0"/>
              <w:left w:val="single" w:color="000000" w:sz="4" w:space="0"/>
              <w:bottom w:val="single" w:color="000000" w:sz="4" w:space="0"/>
              <w:right w:val="single" w:color="000000" w:sz="4" w:space="0"/>
            </w:tcBorders>
            <w:vAlign w:val="center"/>
          </w:tcPr>
          <w:p w14:paraId="31175AD7">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2FF8">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3" w:type="dxa"/>
            <w:tcBorders>
              <w:top w:val="single" w:color="000000" w:sz="4" w:space="0"/>
              <w:left w:val="single" w:color="000000" w:sz="4" w:space="0"/>
              <w:bottom w:val="single" w:color="000000" w:sz="4" w:space="0"/>
              <w:right w:val="single" w:color="000000" w:sz="4" w:space="0"/>
            </w:tcBorders>
            <w:vAlign w:val="center"/>
          </w:tcPr>
          <w:p w14:paraId="7B03315B">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7" w:type="dxa"/>
            <w:tcBorders>
              <w:top w:val="single" w:color="000000" w:sz="4" w:space="0"/>
              <w:left w:val="single" w:color="000000" w:sz="4" w:space="0"/>
              <w:bottom w:val="single" w:color="000000" w:sz="4" w:space="0"/>
              <w:right w:val="single" w:color="000000" w:sz="4" w:space="0"/>
            </w:tcBorders>
            <w:vAlign w:val="center"/>
          </w:tcPr>
          <w:p w14:paraId="392AA2C2">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61" w:type="dxa"/>
            <w:tcBorders>
              <w:top w:val="single" w:color="000000" w:sz="4" w:space="0"/>
              <w:left w:val="single" w:color="000000" w:sz="4" w:space="0"/>
              <w:bottom w:val="single" w:color="000000" w:sz="4" w:space="0"/>
              <w:right w:val="single" w:color="000000" w:sz="4" w:space="0"/>
            </w:tcBorders>
            <w:vAlign w:val="center"/>
          </w:tcPr>
          <w:p w14:paraId="7D140883">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582EF30">
            <w:pPr>
              <w:keepNext w:val="0"/>
              <w:keepLines w:val="0"/>
              <w:widowControl/>
              <w:suppressLineNumbers w:val="0"/>
              <w:jc w:val="center"/>
              <w:textAlignment w:val="center"/>
              <w:rPr>
                <w:rFonts w:hint="default" w:ascii="宋体" w:hAnsi="宋体" w:eastAsia="宋体" w:cs="宋体"/>
                <w:b w:val="0"/>
                <w:bCs w:val="0"/>
                <w:szCs w:val="21"/>
                <w:lang w:val="en-US" w:eastAsia="zh-CN"/>
              </w:rPr>
            </w:pPr>
          </w:p>
        </w:tc>
        <w:tc>
          <w:tcPr>
            <w:tcW w:w="1100" w:type="dxa"/>
            <w:vMerge w:val="continue"/>
            <w:tcBorders>
              <w:left w:val="single" w:color="000000" w:sz="4" w:space="0"/>
              <w:right w:val="single" w:color="000000" w:sz="4" w:space="0"/>
            </w:tcBorders>
            <w:vAlign w:val="center"/>
          </w:tcPr>
          <w:p w14:paraId="42A21AEE">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C5C6">
            <w:pPr>
              <w:keepNext w:val="0"/>
              <w:keepLines w:val="0"/>
              <w:pageBreakBefore w:val="0"/>
              <w:widowControl/>
              <w:kinsoku/>
              <w:wordWrap/>
              <w:overflowPunct/>
              <w:topLinePunct w:val="0"/>
              <w:autoSpaceDE/>
              <w:autoSpaceDN/>
              <w:bidi w:val="0"/>
              <w:spacing w:line="400" w:lineRule="exact"/>
              <w:jc w:val="left"/>
              <w:textAlignment w:val="auto"/>
              <w:rPr>
                <w:rFonts w:hint="default" w:ascii="宋体" w:hAnsi="宋体" w:eastAsia="宋体" w:cs="宋体"/>
                <w:b w:val="0"/>
                <w:bCs w:val="0"/>
                <w:szCs w:val="21"/>
                <w:lang w:val="en-US" w:eastAsia="zh-CN"/>
              </w:rPr>
            </w:pPr>
          </w:p>
        </w:tc>
      </w:tr>
      <w:tr w14:paraId="0625C296">
        <w:tblPrEx>
          <w:tblCellMar>
            <w:top w:w="15" w:type="dxa"/>
            <w:left w:w="15" w:type="dxa"/>
            <w:bottom w:w="15" w:type="dxa"/>
            <w:right w:w="15" w:type="dxa"/>
          </w:tblCellMar>
        </w:tblPrEx>
        <w:trPr>
          <w:trHeight w:val="340" w:hRule="atLeast"/>
          <w:jc w:val="center"/>
        </w:trPr>
        <w:tc>
          <w:tcPr>
            <w:tcW w:w="612" w:type="dxa"/>
            <w:tcBorders>
              <w:top w:val="single" w:color="000000" w:sz="4" w:space="0"/>
              <w:left w:val="single" w:color="000000" w:sz="4" w:space="0"/>
              <w:bottom w:val="single" w:color="000000" w:sz="4" w:space="0"/>
              <w:right w:val="single" w:color="000000" w:sz="4" w:space="0"/>
            </w:tcBorders>
            <w:vAlign w:val="center"/>
          </w:tcPr>
          <w:p w14:paraId="7F471F7C">
            <w:pPr>
              <w:keepNext w:val="0"/>
              <w:keepLines w:val="0"/>
              <w:pageBreakBefore w:val="0"/>
              <w:widowControl/>
              <w:kinsoku/>
              <w:wordWrap/>
              <w:overflowPunct/>
              <w:topLinePunct w:val="0"/>
              <w:autoSpaceDE/>
              <w:autoSpaceDN/>
              <w:bidi w:val="0"/>
              <w:spacing w:line="400" w:lineRule="exact"/>
              <w:jc w:val="center"/>
              <w:textAlignment w:val="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w:t>
            </w:r>
          </w:p>
        </w:tc>
        <w:tc>
          <w:tcPr>
            <w:tcW w:w="1727" w:type="dxa"/>
            <w:tcBorders>
              <w:top w:val="single" w:color="000000" w:sz="4" w:space="0"/>
              <w:left w:val="single" w:color="000000" w:sz="4" w:space="0"/>
              <w:bottom w:val="single" w:color="000000" w:sz="4" w:space="0"/>
              <w:right w:val="single" w:color="000000" w:sz="4" w:space="0"/>
            </w:tcBorders>
            <w:vAlign w:val="center"/>
          </w:tcPr>
          <w:p w14:paraId="2FE5883E">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8A2F">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3" w:type="dxa"/>
            <w:tcBorders>
              <w:top w:val="single" w:color="000000" w:sz="4" w:space="0"/>
              <w:left w:val="single" w:color="000000" w:sz="4" w:space="0"/>
              <w:bottom w:val="single" w:color="000000" w:sz="4" w:space="0"/>
              <w:right w:val="single" w:color="000000" w:sz="4" w:space="0"/>
            </w:tcBorders>
            <w:vAlign w:val="center"/>
          </w:tcPr>
          <w:p w14:paraId="1EC034E1">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7" w:type="dxa"/>
            <w:tcBorders>
              <w:top w:val="single" w:color="000000" w:sz="4" w:space="0"/>
              <w:left w:val="single" w:color="000000" w:sz="4" w:space="0"/>
              <w:bottom w:val="single" w:color="000000" w:sz="4" w:space="0"/>
              <w:right w:val="single" w:color="000000" w:sz="4" w:space="0"/>
            </w:tcBorders>
            <w:vAlign w:val="center"/>
          </w:tcPr>
          <w:p w14:paraId="304EB95D">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61" w:type="dxa"/>
            <w:tcBorders>
              <w:top w:val="single" w:color="000000" w:sz="4" w:space="0"/>
              <w:left w:val="single" w:color="000000" w:sz="4" w:space="0"/>
              <w:bottom w:val="single" w:color="000000" w:sz="4" w:space="0"/>
              <w:right w:val="single" w:color="000000" w:sz="4" w:space="0"/>
            </w:tcBorders>
            <w:vAlign w:val="center"/>
          </w:tcPr>
          <w:p w14:paraId="062F8AE4">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E4DDACE">
            <w:pPr>
              <w:keepNext w:val="0"/>
              <w:keepLines w:val="0"/>
              <w:widowControl/>
              <w:suppressLineNumbers w:val="0"/>
              <w:jc w:val="center"/>
              <w:textAlignment w:val="center"/>
              <w:rPr>
                <w:rFonts w:hint="default" w:ascii="宋体" w:hAnsi="宋体" w:eastAsia="宋体" w:cs="宋体"/>
                <w:b w:val="0"/>
                <w:bCs w:val="0"/>
                <w:szCs w:val="21"/>
                <w:lang w:val="en-US" w:eastAsia="zh-CN"/>
              </w:rPr>
            </w:pPr>
          </w:p>
        </w:tc>
        <w:tc>
          <w:tcPr>
            <w:tcW w:w="1100" w:type="dxa"/>
            <w:vMerge w:val="continue"/>
            <w:tcBorders>
              <w:left w:val="single" w:color="000000" w:sz="4" w:space="0"/>
              <w:right w:val="single" w:color="000000" w:sz="4" w:space="0"/>
            </w:tcBorders>
            <w:vAlign w:val="center"/>
          </w:tcPr>
          <w:p w14:paraId="169E42EB">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B14F">
            <w:pPr>
              <w:keepNext w:val="0"/>
              <w:keepLines w:val="0"/>
              <w:pageBreakBefore w:val="0"/>
              <w:widowControl/>
              <w:kinsoku/>
              <w:wordWrap/>
              <w:overflowPunct/>
              <w:topLinePunct w:val="0"/>
              <w:autoSpaceDE/>
              <w:autoSpaceDN/>
              <w:bidi w:val="0"/>
              <w:spacing w:line="400" w:lineRule="exact"/>
              <w:jc w:val="left"/>
              <w:textAlignment w:val="auto"/>
              <w:rPr>
                <w:rFonts w:hint="default" w:ascii="宋体" w:hAnsi="宋体" w:eastAsia="宋体" w:cs="宋体"/>
                <w:b w:val="0"/>
                <w:bCs w:val="0"/>
                <w:szCs w:val="21"/>
                <w:lang w:val="en-US" w:eastAsia="zh-CN"/>
              </w:rPr>
            </w:pPr>
          </w:p>
        </w:tc>
      </w:tr>
      <w:tr w14:paraId="0D109939">
        <w:tblPrEx>
          <w:tblCellMar>
            <w:top w:w="15" w:type="dxa"/>
            <w:left w:w="15" w:type="dxa"/>
            <w:bottom w:w="15" w:type="dxa"/>
            <w:right w:w="15" w:type="dxa"/>
          </w:tblCellMar>
        </w:tblPrEx>
        <w:trPr>
          <w:trHeight w:val="340" w:hRule="atLeast"/>
          <w:jc w:val="center"/>
        </w:trPr>
        <w:tc>
          <w:tcPr>
            <w:tcW w:w="612" w:type="dxa"/>
            <w:tcBorders>
              <w:top w:val="single" w:color="000000" w:sz="4" w:space="0"/>
              <w:left w:val="single" w:color="000000" w:sz="4" w:space="0"/>
              <w:bottom w:val="single" w:color="000000" w:sz="4" w:space="0"/>
              <w:right w:val="single" w:color="000000" w:sz="4" w:space="0"/>
            </w:tcBorders>
            <w:vAlign w:val="center"/>
          </w:tcPr>
          <w:p w14:paraId="251C5668">
            <w:pPr>
              <w:keepNext w:val="0"/>
              <w:keepLines w:val="0"/>
              <w:pageBreakBefore w:val="0"/>
              <w:widowControl/>
              <w:kinsoku/>
              <w:wordWrap/>
              <w:overflowPunct/>
              <w:topLinePunct w:val="0"/>
              <w:autoSpaceDE/>
              <w:autoSpaceDN/>
              <w:bidi w:val="0"/>
              <w:spacing w:line="400" w:lineRule="exact"/>
              <w:jc w:val="center"/>
              <w:textAlignment w:val="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w:t>
            </w:r>
          </w:p>
        </w:tc>
        <w:tc>
          <w:tcPr>
            <w:tcW w:w="1727" w:type="dxa"/>
            <w:tcBorders>
              <w:top w:val="single" w:color="000000" w:sz="4" w:space="0"/>
              <w:left w:val="single" w:color="000000" w:sz="4" w:space="0"/>
              <w:bottom w:val="single" w:color="000000" w:sz="4" w:space="0"/>
              <w:right w:val="single" w:color="000000" w:sz="4" w:space="0"/>
            </w:tcBorders>
            <w:vAlign w:val="center"/>
          </w:tcPr>
          <w:p w14:paraId="66BD9BCF">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42355CB3">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rPr>
            </w:pPr>
          </w:p>
        </w:tc>
        <w:tc>
          <w:tcPr>
            <w:tcW w:w="583" w:type="dxa"/>
            <w:tcBorders>
              <w:top w:val="single" w:color="000000" w:sz="4" w:space="0"/>
              <w:left w:val="single" w:color="000000" w:sz="4" w:space="0"/>
              <w:bottom w:val="single" w:color="000000" w:sz="4" w:space="0"/>
              <w:right w:val="single" w:color="000000" w:sz="4" w:space="0"/>
            </w:tcBorders>
            <w:vAlign w:val="center"/>
          </w:tcPr>
          <w:p w14:paraId="499053D2">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7" w:type="dxa"/>
            <w:tcBorders>
              <w:top w:val="single" w:color="000000" w:sz="4" w:space="0"/>
              <w:left w:val="single" w:color="000000" w:sz="4" w:space="0"/>
              <w:bottom w:val="single" w:color="000000" w:sz="4" w:space="0"/>
              <w:right w:val="single" w:color="000000" w:sz="4" w:space="0"/>
            </w:tcBorders>
            <w:vAlign w:val="center"/>
          </w:tcPr>
          <w:p w14:paraId="3C2E380D">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61" w:type="dxa"/>
            <w:tcBorders>
              <w:top w:val="single" w:color="000000" w:sz="4" w:space="0"/>
              <w:left w:val="single" w:color="000000" w:sz="4" w:space="0"/>
              <w:bottom w:val="single" w:color="000000" w:sz="4" w:space="0"/>
              <w:right w:val="single" w:color="000000" w:sz="4" w:space="0"/>
            </w:tcBorders>
            <w:vAlign w:val="center"/>
          </w:tcPr>
          <w:p w14:paraId="52427873">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AB0E5D6">
            <w:pPr>
              <w:keepNext w:val="0"/>
              <w:keepLines w:val="0"/>
              <w:widowControl/>
              <w:suppressLineNumbers w:val="0"/>
              <w:jc w:val="center"/>
              <w:textAlignment w:val="center"/>
              <w:rPr>
                <w:rFonts w:hint="default" w:ascii="宋体" w:hAnsi="宋体" w:eastAsia="宋体" w:cs="宋体"/>
                <w:b w:val="0"/>
                <w:bCs w:val="0"/>
                <w:szCs w:val="21"/>
                <w:lang w:val="en-US" w:eastAsia="zh-CN"/>
              </w:rPr>
            </w:pPr>
          </w:p>
        </w:tc>
        <w:tc>
          <w:tcPr>
            <w:tcW w:w="1100" w:type="dxa"/>
            <w:vMerge w:val="continue"/>
            <w:tcBorders>
              <w:left w:val="single" w:color="000000" w:sz="4" w:space="0"/>
              <w:right w:val="single" w:color="000000" w:sz="4" w:space="0"/>
            </w:tcBorders>
            <w:vAlign w:val="center"/>
          </w:tcPr>
          <w:p w14:paraId="4B8F2A79">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B16AF">
            <w:pPr>
              <w:keepNext w:val="0"/>
              <w:keepLines w:val="0"/>
              <w:pageBreakBefore w:val="0"/>
              <w:widowControl/>
              <w:kinsoku/>
              <w:wordWrap/>
              <w:overflowPunct/>
              <w:topLinePunct w:val="0"/>
              <w:autoSpaceDE/>
              <w:autoSpaceDN/>
              <w:bidi w:val="0"/>
              <w:spacing w:line="400" w:lineRule="exact"/>
              <w:jc w:val="left"/>
              <w:textAlignment w:val="auto"/>
              <w:rPr>
                <w:rFonts w:hint="default" w:ascii="宋体" w:hAnsi="宋体" w:eastAsia="宋体" w:cs="宋体"/>
                <w:b w:val="0"/>
                <w:bCs w:val="0"/>
                <w:szCs w:val="21"/>
                <w:lang w:val="en-US" w:eastAsia="zh-CN"/>
              </w:rPr>
            </w:pPr>
          </w:p>
        </w:tc>
      </w:tr>
      <w:tr w14:paraId="69642A81">
        <w:tblPrEx>
          <w:tblCellMar>
            <w:top w:w="15" w:type="dxa"/>
            <w:left w:w="15" w:type="dxa"/>
            <w:bottom w:w="15" w:type="dxa"/>
            <w:right w:w="15" w:type="dxa"/>
          </w:tblCellMar>
        </w:tblPrEx>
        <w:trPr>
          <w:trHeight w:val="340" w:hRule="atLeast"/>
          <w:jc w:val="center"/>
        </w:trPr>
        <w:tc>
          <w:tcPr>
            <w:tcW w:w="612" w:type="dxa"/>
            <w:tcBorders>
              <w:top w:val="single" w:color="000000" w:sz="4" w:space="0"/>
              <w:left w:val="single" w:color="000000" w:sz="4" w:space="0"/>
              <w:bottom w:val="single" w:color="000000" w:sz="4" w:space="0"/>
              <w:right w:val="single" w:color="000000" w:sz="4" w:space="0"/>
            </w:tcBorders>
            <w:vAlign w:val="center"/>
          </w:tcPr>
          <w:p w14:paraId="1164150B">
            <w:pPr>
              <w:keepNext w:val="0"/>
              <w:keepLines w:val="0"/>
              <w:pageBreakBefore w:val="0"/>
              <w:widowControl/>
              <w:kinsoku/>
              <w:wordWrap/>
              <w:overflowPunct/>
              <w:topLinePunct w:val="0"/>
              <w:autoSpaceDE/>
              <w:autoSpaceDN/>
              <w:bidi w:val="0"/>
              <w:spacing w:line="400" w:lineRule="exact"/>
              <w:jc w:val="center"/>
              <w:textAlignment w:val="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7</w:t>
            </w:r>
          </w:p>
        </w:tc>
        <w:tc>
          <w:tcPr>
            <w:tcW w:w="1727" w:type="dxa"/>
            <w:tcBorders>
              <w:top w:val="single" w:color="000000" w:sz="4" w:space="0"/>
              <w:left w:val="single" w:color="000000" w:sz="4" w:space="0"/>
              <w:bottom w:val="single" w:color="000000" w:sz="4" w:space="0"/>
              <w:right w:val="single" w:color="000000" w:sz="4" w:space="0"/>
            </w:tcBorders>
            <w:vAlign w:val="center"/>
          </w:tcPr>
          <w:p w14:paraId="7A6BD6D4">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87" w:type="dxa"/>
            <w:tcBorders>
              <w:top w:val="single" w:color="000000" w:sz="4" w:space="0"/>
              <w:left w:val="single" w:color="000000" w:sz="4" w:space="0"/>
              <w:bottom w:val="single" w:color="000000" w:sz="4" w:space="0"/>
              <w:right w:val="single" w:color="000000" w:sz="4" w:space="0"/>
            </w:tcBorders>
            <w:vAlign w:val="center"/>
          </w:tcPr>
          <w:p w14:paraId="314D6A19">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rPr>
            </w:pPr>
          </w:p>
        </w:tc>
        <w:tc>
          <w:tcPr>
            <w:tcW w:w="583" w:type="dxa"/>
            <w:tcBorders>
              <w:top w:val="single" w:color="000000" w:sz="4" w:space="0"/>
              <w:left w:val="single" w:color="000000" w:sz="4" w:space="0"/>
              <w:bottom w:val="single" w:color="000000" w:sz="4" w:space="0"/>
              <w:right w:val="single" w:color="000000" w:sz="4" w:space="0"/>
            </w:tcBorders>
            <w:vAlign w:val="center"/>
          </w:tcPr>
          <w:p w14:paraId="47027A3A">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587" w:type="dxa"/>
            <w:tcBorders>
              <w:top w:val="single" w:color="000000" w:sz="4" w:space="0"/>
              <w:left w:val="single" w:color="000000" w:sz="4" w:space="0"/>
              <w:bottom w:val="single" w:color="000000" w:sz="4" w:space="0"/>
              <w:right w:val="single" w:color="000000" w:sz="4" w:space="0"/>
            </w:tcBorders>
            <w:vAlign w:val="center"/>
          </w:tcPr>
          <w:p w14:paraId="68A3DC0E">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61" w:type="dxa"/>
            <w:tcBorders>
              <w:top w:val="single" w:color="000000" w:sz="4" w:space="0"/>
              <w:left w:val="single" w:color="000000" w:sz="4" w:space="0"/>
              <w:bottom w:val="single" w:color="000000" w:sz="4" w:space="0"/>
              <w:right w:val="single" w:color="000000" w:sz="4" w:space="0"/>
            </w:tcBorders>
            <w:vAlign w:val="center"/>
          </w:tcPr>
          <w:p w14:paraId="7E82412D">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394C32D5">
            <w:pPr>
              <w:keepNext w:val="0"/>
              <w:keepLines w:val="0"/>
              <w:widowControl/>
              <w:suppressLineNumbers w:val="0"/>
              <w:jc w:val="center"/>
              <w:textAlignment w:val="center"/>
              <w:rPr>
                <w:rFonts w:hint="default" w:ascii="宋体" w:hAnsi="宋体" w:eastAsia="宋体" w:cs="宋体"/>
                <w:b w:val="0"/>
                <w:bCs w:val="0"/>
                <w:szCs w:val="21"/>
                <w:lang w:val="en-US" w:eastAsia="zh-CN"/>
              </w:rPr>
            </w:pPr>
          </w:p>
        </w:tc>
        <w:tc>
          <w:tcPr>
            <w:tcW w:w="1100" w:type="dxa"/>
            <w:vMerge w:val="continue"/>
            <w:tcBorders>
              <w:left w:val="single" w:color="000000" w:sz="4" w:space="0"/>
              <w:right w:val="single" w:color="000000" w:sz="4" w:space="0"/>
            </w:tcBorders>
            <w:vAlign w:val="center"/>
          </w:tcPr>
          <w:p w14:paraId="349F73A8">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F4172">
            <w:pPr>
              <w:keepNext w:val="0"/>
              <w:keepLines w:val="0"/>
              <w:pageBreakBefore w:val="0"/>
              <w:widowControl/>
              <w:kinsoku/>
              <w:wordWrap/>
              <w:overflowPunct/>
              <w:topLinePunct w:val="0"/>
              <w:autoSpaceDE/>
              <w:autoSpaceDN/>
              <w:bidi w:val="0"/>
              <w:spacing w:line="400" w:lineRule="exact"/>
              <w:jc w:val="left"/>
              <w:textAlignment w:val="auto"/>
              <w:rPr>
                <w:rFonts w:hint="default" w:ascii="宋体" w:hAnsi="宋体" w:eastAsia="宋体" w:cs="宋体"/>
                <w:b w:val="0"/>
                <w:bCs w:val="0"/>
                <w:szCs w:val="21"/>
                <w:lang w:val="en-US" w:eastAsia="zh-CN"/>
              </w:rPr>
            </w:pPr>
          </w:p>
        </w:tc>
      </w:tr>
      <w:tr w14:paraId="0997B2FB">
        <w:tblPrEx>
          <w:tblCellMar>
            <w:top w:w="15" w:type="dxa"/>
            <w:left w:w="15" w:type="dxa"/>
            <w:bottom w:w="15" w:type="dxa"/>
            <w:right w:w="15" w:type="dxa"/>
          </w:tblCellMar>
        </w:tblPrEx>
        <w:trPr>
          <w:trHeight w:val="597" w:hRule="atLeast"/>
          <w:jc w:val="center"/>
        </w:trPr>
        <w:tc>
          <w:tcPr>
            <w:tcW w:w="6557" w:type="dxa"/>
            <w:gridSpan w:val="6"/>
            <w:tcBorders>
              <w:top w:val="single" w:color="000000" w:sz="4" w:space="0"/>
              <w:left w:val="single" w:color="000000" w:sz="4" w:space="0"/>
              <w:bottom w:val="single" w:color="000000" w:sz="4" w:space="0"/>
              <w:right w:val="single" w:color="000000" w:sz="4" w:space="0"/>
            </w:tcBorders>
            <w:vAlign w:val="center"/>
          </w:tcPr>
          <w:p w14:paraId="57D9C825">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以上合计不含税总金额</w:t>
            </w:r>
          </w:p>
        </w:tc>
        <w:tc>
          <w:tcPr>
            <w:tcW w:w="1215" w:type="dxa"/>
            <w:tcBorders>
              <w:top w:val="single" w:color="000000" w:sz="4" w:space="0"/>
              <w:left w:val="single" w:color="000000" w:sz="4" w:space="0"/>
              <w:bottom w:val="single" w:color="000000" w:sz="4" w:space="0"/>
              <w:right w:val="single" w:color="000000" w:sz="4" w:space="0"/>
            </w:tcBorders>
            <w:vAlign w:val="center"/>
          </w:tcPr>
          <w:p w14:paraId="2A6D8A32">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CA6F6ED">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kern w:val="2"/>
                <w:sz w:val="21"/>
                <w:szCs w:val="21"/>
                <w:lang w:val="en-US" w:eastAsia="zh-CN" w:bidi="ar-SA"/>
              </w:rPr>
            </w:pPr>
          </w:p>
        </w:tc>
        <w:tc>
          <w:tcPr>
            <w:tcW w:w="1769" w:type="dxa"/>
            <w:tcBorders>
              <w:top w:val="single" w:color="000000" w:sz="4" w:space="0"/>
              <w:left w:val="single" w:color="000000" w:sz="4" w:space="0"/>
              <w:bottom w:val="single" w:color="000000" w:sz="4" w:space="0"/>
              <w:right w:val="single" w:color="000000" w:sz="4" w:space="0"/>
            </w:tcBorders>
            <w:vAlign w:val="center"/>
          </w:tcPr>
          <w:p w14:paraId="349DB7F3">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r>
      <w:tr w14:paraId="064E611B">
        <w:tblPrEx>
          <w:tblCellMar>
            <w:top w:w="15" w:type="dxa"/>
            <w:left w:w="15" w:type="dxa"/>
            <w:bottom w:w="15" w:type="dxa"/>
            <w:right w:w="15" w:type="dxa"/>
          </w:tblCellMar>
        </w:tblPrEx>
        <w:trPr>
          <w:trHeight w:val="587" w:hRule="atLeast"/>
          <w:jc w:val="center"/>
        </w:trPr>
        <w:tc>
          <w:tcPr>
            <w:tcW w:w="6557" w:type="dxa"/>
            <w:gridSpan w:val="6"/>
            <w:tcBorders>
              <w:top w:val="single" w:color="000000" w:sz="4" w:space="0"/>
              <w:left w:val="single" w:color="000000" w:sz="4" w:space="0"/>
              <w:bottom w:val="single" w:color="000000" w:sz="4" w:space="0"/>
              <w:right w:val="single" w:color="000000" w:sz="4" w:space="0"/>
            </w:tcBorders>
            <w:vAlign w:val="center"/>
          </w:tcPr>
          <w:p w14:paraId="55A4ECD0">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以上合计含税（13%）总金额</w:t>
            </w:r>
          </w:p>
        </w:tc>
        <w:tc>
          <w:tcPr>
            <w:tcW w:w="1215" w:type="dxa"/>
            <w:tcBorders>
              <w:top w:val="single" w:color="000000" w:sz="4" w:space="0"/>
              <w:left w:val="single" w:color="000000" w:sz="4" w:space="0"/>
              <w:bottom w:val="single" w:color="000000" w:sz="4" w:space="0"/>
              <w:right w:val="single" w:color="000000" w:sz="4" w:space="0"/>
            </w:tcBorders>
            <w:vAlign w:val="center"/>
          </w:tcPr>
          <w:p w14:paraId="44C9D596">
            <w:pPr>
              <w:keepNext w:val="0"/>
              <w:keepLines w:val="0"/>
              <w:pageBreakBefore w:val="0"/>
              <w:widowControl/>
              <w:kinsoku/>
              <w:wordWrap/>
              <w:overflowPunct/>
              <w:topLinePunct w:val="0"/>
              <w:autoSpaceDE/>
              <w:autoSpaceDN/>
              <w:bidi w:val="0"/>
              <w:spacing w:line="400" w:lineRule="exact"/>
              <w:jc w:val="center"/>
              <w:textAlignment w:val="auto"/>
              <w:rPr>
                <w:rFonts w:hint="default" w:ascii="宋体" w:hAnsi="宋体" w:eastAsia="宋体" w:cs="宋体"/>
                <w:b w:val="0"/>
                <w:bCs w:val="0"/>
                <w:szCs w:val="21"/>
                <w:lang w:val="en-US" w:eastAsia="zh-CN"/>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2EBBEFDC">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c>
          <w:tcPr>
            <w:tcW w:w="1769" w:type="dxa"/>
            <w:tcBorders>
              <w:top w:val="single" w:color="000000" w:sz="4" w:space="0"/>
              <w:left w:val="single" w:color="000000" w:sz="4" w:space="0"/>
              <w:bottom w:val="single" w:color="000000" w:sz="4" w:space="0"/>
              <w:right w:val="single" w:color="000000" w:sz="4" w:space="0"/>
            </w:tcBorders>
            <w:vAlign w:val="center"/>
          </w:tcPr>
          <w:p w14:paraId="11406C2F">
            <w:pPr>
              <w:keepNext w:val="0"/>
              <w:keepLines w:val="0"/>
              <w:pageBreakBefore w:val="0"/>
              <w:widowControl/>
              <w:kinsoku/>
              <w:wordWrap/>
              <w:overflowPunct/>
              <w:topLinePunct w:val="0"/>
              <w:autoSpaceDE/>
              <w:autoSpaceDN/>
              <w:bidi w:val="0"/>
              <w:spacing w:line="400" w:lineRule="exact"/>
              <w:jc w:val="center"/>
              <w:textAlignment w:val="auto"/>
              <w:rPr>
                <w:rFonts w:ascii="宋体" w:hAnsi="宋体" w:cs="宋体"/>
                <w:b w:val="0"/>
                <w:bCs w:val="0"/>
                <w:szCs w:val="21"/>
              </w:rPr>
            </w:pPr>
          </w:p>
        </w:tc>
      </w:tr>
    </w:tbl>
    <w:p w14:paraId="3A1D3839">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74" w:name="_Toc24678"/>
      <w:bookmarkStart w:id="575" w:name="_Toc19303"/>
      <w:bookmarkStart w:id="576" w:name="_Toc512156449"/>
      <w:bookmarkStart w:id="577" w:name="_Toc24086"/>
      <w:bookmarkStart w:id="578" w:name="_Toc22912"/>
      <w:r>
        <w:rPr>
          <w:rFonts w:hint="eastAsia" w:ascii="方正仿宋_GBK" w:hAnsi="方正仿宋_GBK" w:eastAsia="方正仿宋_GBK" w:cs="方正仿宋_GBK"/>
          <w:bCs/>
          <w:sz w:val="28"/>
          <w:szCs w:val="28"/>
        </w:rPr>
        <w:t>四、交货期、交货地址及交货方式</w:t>
      </w:r>
      <w:bookmarkEnd w:id="574"/>
      <w:bookmarkEnd w:id="575"/>
      <w:bookmarkEnd w:id="576"/>
      <w:bookmarkEnd w:id="577"/>
      <w:bookmarkEnd w:id="578"/>
    </w:p>
    <w:p w14:paraId="7304538D">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（一）计划交货期：</w:t>
      </w:r>
      <w:r>
        <w:rPr>
          <w:rFonts w:hint="eastAsia" w:ascii="方正仿宋_GBK" w:hAnsi="方正仿宋_GBK" w:eastAsia="方正仿宋_GBK" w:cs="方正仿宋_GBK"/>
          <w:bCs/>
          <w:color w:val="auto"/>
          <w:sz w:val="28"/>
          <w:szCs w:val="28"/>
          <w:highlight w:val="none"/>
          <w:lang w:val="en-US" w:eastAsia="zh-CN"/>
        </w:rPr>
        <w:t>2025年10月30日前货到现场（具体交货时间以甲方通知为准）</w:t>
      </w:r>
      <w:r>
        <w:rPr>
          <w:rFonts w:hint="eastAsia" w:ascii="方正仿宋_GBK" w:hAnsi="方正仿宋_GBK" w:eastAsia="方正仿宋_GBK" w:cs="方正仿宋_GBK"/>
          <w:bCs/>
          <w:sz w:val="28"/>
          <w:szCs w:val="28"/>
        </w:rPr>
        <w:t>，发货前3天请与（联系人及电话：胡煜19923183614）衔接现场交接有关事项，若项目工期调整，按调整后的交货期执行。</w:t>
      </w:r>
    </w:p>
    <w:p w14:paraId="6A5D2252">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（二）交货地址：</w:t>
      </w:r>
      <w:r>
        <w:rPr>
          <w:rFonts w:hint="eastAsia" w:ascii="方正仿宋_GBK" w:hAnsi="方正仿宋_GBK" w:eastAsia="方正仿宋_GBK" w:cs="方正仿宋_GBK"/>
          <w:bCs/>
          <w:sz w:val="28"/>
          <w:szCs w:val="28"/>
          <w:lang w:val="en-US" w:eastAsia="zh-CN"/>
        </w:rPr>
        <w:t>重庆市涪陵区白涛街道</w:t>
      </w:r>
      <w:r>
        <w:rPr>
          <w:rFonts w:hint="default" w:ascii="方正仿宋_GBK" w:hAnsi="方正仿宋_GBK" w:eastAsia="方正仿宋_GBK" w:cs="方正仿宋_GBK"/>
          <w:bCs/>
          <w:sz w:val="28"/>
          <w:szCs w:val="28"/>
          <w:lang w:val="en-US" w:eastAsia="zh-CN"/>
        </w:rPr>
        <w:t>官桥</w:t>
      </w:r>
      <w:r>
        <w:rPr>
          <w:rFonts w:hint="eastAsia" w:ascii="方正仿宋_GBK" w:hAnsi="方正仿宋_GBK" w:eastAsia="方正仿宋_GBK" w:cs="方正仿宋_GBK"/>
          <w:bCs/>
          <w:sz w:val="28"/>
          <w:szCs w:val="28"/>
          <w:lang w:val="en-US" w:eastAsia="zh-CN"/>
        </w:rPr>
        <w:t>社区山窝</w:t>
      </w:r>
      <w:r>
        <w:rPr>
          <w:rFonts w:hint="eastAsia" w:ascii="方正仿宋_GBK" w:hAnsi="方正仿宋_GBK" w:eastAsia="方正仿宋_GBK" w:cs="方正仿宋_GBK"/>
          <w:bCs/>
          <w:sz w:val="28"/>
          <w:szCs w:val="28"/>
          <w:lang w:eastAsia="zh-CN"/>
        </w:rPr>
        <w:t>变电站</w:t>
      </w:r>
      <w:r>
        <w:rPr>
          <w:rFonts w:hint="eastAsia" w:ascii="方正仿宋_GBK" w:hAnsi="方正仿宋_GBK" w:eastAsia="方正仿宋_GBK" w:cs="方正仿宋_GBK"/>
          <w:bCs/>
          <w:sz w:val="28"/>
          <w:szCs w:val="28"/>
        </w:rPr>
        <w:t>（买方指定地点）。</w:t>
      </w:r>
    </w:p>
    <w:p w14:paraId="1B5B58DD">
      <w:pPr>
        <w:keepNext w:val="0"/>
        <w:keepLines w:val="0"/>
        <w:pageBreakBefore w:val="0"/>
        <w:kinsoku/>
        <w:wordWrap/>
        <w:overflowPunct/>
        <w:topLinePunct w:val="0"/>
        <w:autoSpaceDE/>
        <w:autoSpaceDN/>
        <w:bidi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（三）交货方式：</w:t>
      </w:r>
      <w:bookmarkStart w:id="579" w:name="_Toc6411"/>
      <w:r>
        <w:rPr>
          <w:rFonts w:hint="eastAsia" w:ascii="方正仿宋_GBK" w:hAnsi="方正仿宋_GBK" w:eastAsia="方正仿宋_GBK" w:cs="方正仿宋_GBK"/>
          <w:bCs/>
          <w:sz w:val="28"/>
          <w:szCs w:val="28"/>
          <w:lang w:val="en-US" w:eastAsia="zh-CN"/>
        </w:rPr>
        <w:t>车板交货</w:t>
      </w:r>
      <w:r>
        <w:rPr>
          <w:rFonts w:hint="eastAsia" w:ascii="方正仿宋_GBK" w:hAnsi="方正仿宋_GBK" w:eastAsia="方正仿宋_GBK" w:cs="方正仿宋_GBK"/>
          <w:bCs/>
          <w:sz w:val="28"/>
          <w:szCs w:val="28"/>
        </w:rPr>
        <w:t>。</w:t>
      </w:r>
      <w:bookmarkEnd w:id="579"/>
    </w:p>
    <w:p w14:paraId="60F548B4">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80" w:name="_Toc2390"/>
      <w:bookmarkStart w:id="581" w:name="_Toc512156453"/>
      <w:bookmarkStart w:id="582" w:name="_Toc970"/>
      <w:bookmarkStart w:id="583" w:name="_Toc29549"/>
      <w:r>
        <w:rPr>
          <w:rFonts w:hint="eastAsia" w:ascii="方正仿宋_GBK" w:hAnsi="方正仿宋_GBK" w:eastAsia="方正仿宋_GBK" w:cs="方正仿宋_GBK"/>
          <w:bCs/>
          <w:sz w:val="28"/>
          <w:szCs w:val="28"/>
        </w:rPr>
        <w:t>五、权利和义务转让</w:t>
      </w:r>
      <w:bookmarkEnd w:id="580"/>
      <w:bookmarkEnd w:id="581"/>
      <w:bookmarkEnd w:id="582"/>
      <w:bookmarkEnd w:id="583"/>
    </w:p>
    <w:p w14:paraId="1D87E974">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双方任何一方未取得另一方</w:t>
      </w:r>
      <w:r>
        <w:rPr>
          <w:rFonts w:hint="eastAsia" w:ascii="方正仿宋_GBK" w:hAnsi="方正仿宋_GBK" w:eastAsia="方正仿宋_GBK" w:cs="方正仿宋_GBK"/>
          <w:bCs/>
          <w:sz w:val="28"/>
          <w:szCs w:val="28"/>
          <w:lang w:val="en-US" w:eastAsia="zh-CN"/>
        </w:rPr>
        <w:t>书面</w:t>
      </w:r>
      <w:r>
        <w:rPr>
          <w:rFonts w:hint="eastAsia" w:ascii="方正仿宋_GBK" w:hAnsi="方正仿宋_GBK" w:eastAsia="方正仿宋_GBK" w:cs="方正仿宋_GBK"/>
          <w:bCs/>
          <w:sz w:val="28"/>
          <w:szCs w:val="28"/>
        </w:rPr>
        <w:t>同意前，不得将本合同项下的任何权利和义务转让给第三方。</w:t>
      </w:r>
    </w:p>
    <w:p w14:paraId="6911D1DF">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84" w:name="_Toc512156454"/>
      <w:bookmarkStart w:id="585" w:name="_Toc31725"/>
      <w:bookmarkStart w:id="586" w:name="_Toc5066"/>
      <w:bookmarkStart w:id="587" w:name="_Toc3217"/>
      <w:bookmarkStart w:id="588" w:name="_Toc14832"/>
      <w:r>
        <w:rPr>
          <w:rFonts w:hint="eastAsia" w:ascii="方正仿宋_GBK" w:hAnsi="方正仿宋_GBK" w:eastAsia="方正仿宋_GBK" w:cs="方正仿宋_GBK"/>
          <w:bCs/>
          <w:sz w:val="28"/>
          <w:szCs w:val="28"/>
        </w:rPr>
        <w:t>六、合同生效</w:t>
      </w:r>
      <w:bookmarkEnd w:id="584"/>
      <w:bookmarkEnd w:id="585"/>
      <w:bookmarkEnd w:id="586"/>
      <w:bookmarkEnd w:id="587"/>
      <w:bookmarkEnd w:id="588"/>
    </w:p>
    <w:p w14:paraId="7931102C">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本合同经买卖双方法定代表人或其授权代表签字，并分别盖公章或合同专用章后生效。本合同有效期为从合同生效之日起到最后一批合同设备质量保证期满并货款两清之日止。</w:t>
      </w:r>
    </w:p>
    <w:p w14:paraId="7E986B51">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89" w:name="_Toc512156455"/>
      <w:bookmarkStart w:id="590" w:name="_Toc18361"/>
      <w:bookmarkStart w:id="591" w:name="_Toc936"/>
      <w:bookmarkStart w:id="592" w:name="_Toc701"/>
      <w:bookmarkStart w:id="593" w:name="_Toc9339"/>
      <w:r>
        <w:rPr>
          <w:rFonts w:hint="eastAsia" w:ascii="方正仿宋_GBK" w:hAnsi="方正仿宋_GBK" w:eastAsia="方正仿宋_GBK" w:cs="方正仿宋_GBK"/>
          <w:bCs/>
          <w:sz w:val="28"/>
          <w:szCs w:val="28"/>
        </w:rPr>
        <w:t>七、签订时间</w:t>
      </w:r>
      <w:bookmarkEnd w:id="589"/>
      <w:bookmarkEnd w:id="590"/>
      <w:bookmarkEnd w:id="591"/>
      <w:bookmarkEnd w:id="592"/>
      <w:bookmarkEnd w:id="593"/>
    </w:p>
    <w:p w14:paraId="5EB1DC63">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本合同于</w:t>
      </w:r>
      <w:r>
        <w:rPr>
          <w:rFonts w:hint="eastAsia" w:ascii="方正仿宋_GBK" w:hAnsi="方正仿宋_GBK" w:eastAsia="方正仿宋_GBK" w:cs="方正仿宋_GBK"/>
          <w:bCs/>
          <w:sz w:val="28"/>
          <w:szCs w:val="28"/>
          <w:u w:val="single"/>
        </w:rPr>
        <w:t xml:space="preserve">       </w:t>
      </w:r>
      <w:r>
        <w:rPr>
          <w:rFonts w:hint="eastAsia" w:ascii="方正仿宋_GBK" w:hAnsi="方正仿宋_GBK" w:eastAsia="方正仿宋_GBK" w:cs="方正仿宋_GBK"/>
          <w:bCs/>
          <w:sz w:val="28"/>
          <w:szCs w:val="28"/>
        </w:rPr>
        <w:t>年</w:t>
      </w:r>
      <w:r>
        <w:rPr>
          <w:rFonts w:hint="eastAsia" w:ascii="方正仿宋_GBK" w:hAnsi="方正仿宋_GBK" w:eastAsia="方正仿宋_GBK" w:cs="方正仿宋_GBK"/>
          <w:bCs/>
          <w:sz w:val="28"/>
          <w:szCs w:val="28"/>
          <w:u w:val="single"/>
        </w:rPr>
        <w:t xml:space="preserve">    </w:t>
      </w:r>
      <w:r>
        <w:rPr>
          <w:rFonts w:hint="eastAsia" w:ascii="方正仿宋_GBK" w:hAnsi="方正仿宋_GBK" w:eastAsia="方正仿宋_GBK" w:cs="方正仿宋_GBK"/>
          <w:bCs/>
          <w:sz w:val="28"/>
          <w:szCs w:val="28"/>
        </w:rPr>
        <w:t>月</w:t>
      </w:r>
      <w:r>
        <w:rPr>
          <w:rFonts w:hint="eastAsia" w:ascii="方正仿宋_GBK" w:hAnsi="方正仿宋_GBK" w:eastAsia="方正仿宋_GBK" w:cs="方正仿宋_GBK"/>
          <w:bCs/>
          <w:sz w:val="28"/>
          <w:szCs w:val="28"/>
          <w:u w:val="single"/>
        </w:rPr>
        <w:t xml:space="preserve">    </w:t>
      </w:r>
      <w:r>
        <w:rPr>
          <w:rFonts w:hint="eastAsia" w:ascii="方正仿宋_GBK" w:hAnsi="方正仿宋_GBK" w:eastAsia="方正仿宋_GBK" w:cs="方正仿宋_GBK"/>
          <w:bCs/>
          <w:sz w:val="28"/>
          <w:szCs w:val="28"/>
        </w:rPr>
        <w:t>日签订。</w:t>
      </w:r>
    </w:p>
    <w:p w14:paraId="55B34513">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94" w:name="_Toc24111"/>
      <w:bookmarkStart w:id="595" w:name="_Toc2826"/>
      <w:bookmarkStart w:id="596" w:name="_Toc22640"/>
      <w:bookmarkStart w:id="597" w:name="_Toc3702"/>
      <w:bookmarkStart w:id="598" w:name="_Toc512156456"/>
      <w:r>
        <w:rPr>
          <w:rFonts w:hint="eastAsia" w:ascii="方正仿宋_GBK" w:hAnsi="方正仿宋_GBK" w:eastAsia="方正仿宋_GBK" w:cs="方正仿宋_GBK"/>
          <w:bCs/>
          <w:sz w:val="28"/>
          <w:szCs w:val="28"/>
        </w:rPr>
        <w:t>八、签订地点</w:t>
      </w:r>
      <w:bookmarkEnd w:id="594"/>
      <w:bookmarkEnd w:id="595"/>
      <w:bookmarkEnd w:id="596"/>
      <w:bookmarkEnd w:id="597"/>
      <w:bookmarkEnd w:id="598"/>
    </w:p>
    <w:p w14:paraId="2EA8EE85">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本合同在</w:t>
      </w:r>
      <w:r>
        <w:rPr>
          <w:rFonts w:hint="eastAsia" w:ascii="方正仿宋_GBK" w:hAnsi="方正仿宋_GBK" w:eastAsia="方正仿宋_GBK" w:cs="方正仿宋_GBK"/>
          <w:bCs/>
          <w:sz w:val="28"/>
          <w:szCs w:val="28"/>
          <w:u w:val="single"/>
        </w:rPr>
        <w:t>重庆涪陵</w:t>
      </w:r>
      <w:r>
        <w:rPr>
          <w:rFonts w:hint="eastAsia" w:ascii="方正仿宋_GBK" w:hAnsi="方正仿宋_GBK" w:eastAsia="方正仿宋_GBK" w:cs="方正仿宋_GBK"/>
          <w:bCs/>
          <w:sz w:val="28"/>
          <w:szCs w:val="28"/>
        </w:rPr>
        <w:t>签订。</w:t>
      </w:r>
    </w:p>
    <w:p w14:paraId="216EB9A2">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599" w:name="_Toc15695"/>
      <w:bookmarkStart w:id="600" w:name="_Toc512156457"/>
      <w:bookmarkStart w:id="601" w:name="_Toc27240"/>
      <w:bookmarkStart w:id="602" w:name="_Toc5533"/>
      <w:bookmarkStart w:id="603" w:name="_Toc7349"/>
      <w:r>
        <w:rPr>
          <w:rFonts w:hint="eastAsia" w:ascii="方正仿宋_GBK" w:hAnsi="方正仿宋_GBK" w:eastAsia="方正仿宋_GBK" w:cs="方正仿宋_GBK"/>
          <w:bCs/>
          <w:sz w:val="28"/>
          <w:szCs w:val="28"/>
        </w:rPr>
        <w:t>九、补充协议</w:t>
      </w:r>
      <w:bookmarkEnd w:id="599"/>
      <w:bookmarkEnd w:id="600"/>
      <w:bookmarkEnd w:id="601"/>
      <w:bookmarkEnd w:id="602"/>
      <w:bookmarkEnd w:id="603"/>
    </w:p>
    <w:p w14:paraId="60F5855B">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合同未尽事宜，买卖双方协商解决，并按照协商结果确定是否另行签订补充协议，补充协议是合同的组成部分。</w:t>
      </w:r>
    </w:p>
    <w:p w14:paraId="07BADF3A">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bookmarkStart w:id="604" w:name="_Toc8366"/>
      <w:bookmarkStart w:id="605" w:name="_Toc12271"/>
      <w:bookmarkStart w:id="606" w:name="_Toc512156458"/>
      <w:bookmarkStart w:id="607" w:name="_Toc27960"/>
      <w:bookmarkStart w:id="608" w:name="_Toc26502"/>
      <w:r>
        <w:rPr>
          <w:rFonts w:hint="eastAsia" w:ascii="方正仿宋_GBK" w:hAnsi="方正仿宋_GBK" w:eastAsia="方正仿宋_GBK" w:cs="方正仿宋_GBK"/>
          <w:bCs/>
          <w:sz w:val="28"/>
          <w:szCs w:val="28"/>
        </w:rPr>
        <w:t>十、合同份数</w:t>
      </w:r>
      <w:bookmarkEnd w:id="604"/>
      <w:bookmarkEnd w:id="605"/>
      <w:bookmarkEnd w:id="606"/>
      <w:bookmarkEnd w:id="607"/>
      <w:bookmarkEnd w:id="608"/>
    </w:p>
    <w:p w14:paraId="331CDCF8">
      <w:pPr>
        <w:keepNext w:val="0"/>
        <w:keepLines w:val="0"/>
        <w:pageBreakBefore w:val="0"/>
        <w:kinsoku/>
        <w:wordWrap/>
        <w:overflowPunct/>
        <w:topLinePunct w:val="0"/>
        <w:autoSpaceDE/>
        <w:autoSpaceDN/>
        <w:bidi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本协议书一式</w:t>
      </w:r>
      <w:r>
        <w:rPr>
          <w:rFonts w:hint="eastAsia" w:ascii="方正仿宋_GBK" w:hAnsi="方正仿宋_GBK" w:eastAsia="方正仿宋_GBK" w:cs="方正仿宋_GBK"/>
          <w:bCs/>
          <w:sz w:val="28"/>
          <w:szCs w:val="28"/>
          <w:lang w:val="en-US" w:eastAsia="zh-CN"/>
        </w:rPr>
        <w:t>5</w:t>
      </w:r>
      <w:r>
        <w:rPr>
          <w:rFonts w:hint="eastAsia" w:ascii="方正仿宋_GBK" w:hAnsi="方正仿宋_GBK" w:eastAsia="方正仿宋_GBK" w:cs="方正仿宋_GBK"/>
          <w:bCs/>
          <w:sz w:val="28"/>
          <w:szCs w:val="28"/>
        </w:rPr>
        <w:t>份，买方执</w:t>
      </w:r>
      <w:r>
        <w:rPr>
          <w:rFonts w:hint="eastAsia" w:ascii="方正仿宋_GBK" w:hAnsi="方正仿宋_GBK" w:eastAsia="方正仿宋_GBK" w:cs="方正仿宋_GBK"/>
          <w:bCs/>
          <w:sz w:val="28"/>
          <w:szCs w:val="28"/>
          <w:lang w:val="en-US" w:eastAsia="zh-CN"/>
        </w:rPr>
        <w:t>3</w:t>
      </w:r>
      <w:r>
        <w:rPr>
          <w:rFonts w:hint="eastAsia" w:ascii="方正仿宋_GBK" w:hAnsi="方正仿宋_GBK" w:eastAsia="方正仿宋_GBK" w:cs="方正仿宋_GBK"/>
          <w:bCs/>
          <w:sz w:val="28"/>
          <w:szCs w:val="28"/>
        </w:rPr>
        <w:t>份；卖方执2份。</w:t>
      </w:r>
      <w:bookmarkStart w:id="609" w:name="page63"/>
      <w:bookmarkEnd w:id="609"/>
      <w:bookmarkStart w:id="610" w:name="_Toc2278"/>
      <w:bookmarkStart w:id="611" w:name="_Toc22826"/>
      <w:bookmarkStart w:id="612" w:name="_Toc660"/>
      <w:bookmarkStart w:id="613" w:name="_Toc22702"/>
      <w:bookmarkStart w:id="614" w:name="_Toc512156460"/>
      <w:bookmarkStart w:id="615" w:name="_Toc9846"/>
      <w:bookmarkStart w:id="616" w:name="_Toc23960"/>
    </w:p>
    <w:p w14:paraId="5E347838">
      <w:pPr>
        <w:rPr>
          <w:rFonts w:hint="eastAsia" w:ascii="方正仿宋_GBK" w:hAnsi="方正仿宋_GBK" w:eastAsia="方正仿宋_GBK" w:cs="方正仿宋_GBK"/>
          <w:bCs w:val="0"/>
          <w:kern w:val="2"/>
        </w:rPr>
      </w:pPr>
    </w:p>
    <w:p w14:paraId="16C60856">
      <w:pPr>
        <w:rPr>
          <w:rFonts w:hint="eastAsia" w:ascii="方正仿宋_GBK" w:hAnsi="方正仿宋_GBK" w:eastAsia="方正仿宋_GBK" w:cs="方正仿宋_GBK"/>
          <w:bCs w:val="0"/>
          <w:kern w:val="2"/>
        </w:rPr>
      </w:pPr>
    </w:p>
    <w:p w14:paraId="5B308A5B">
      <w:pPr>
        <w:pStyle w:val="2"/>
        <w:rPr>
          <w:rFonts w:hint="eastAsia" w:ascii="方正仿宋_GBK" w:hAnsi="方正仿宋_GBK" w:eastAsia="方正仿宋_GBK" w:cs="方正仿宋_GBK"/>
          <w:bCs w:val="0"/>
          <w:kern w:val="2"/>
        </w:rPr>
      </w:pPr>
    </w:p>
    <w:p w14:paraId="4C18721B">
      <w:pPr>
        <w:rPr>
          <w:rFonts w:hint="eastAsia" w:ascii="方正仿宋_GBK" w:hAnsi="方正仿宋_GBK" w:eastAsia="方正仿宋_GBK" w:cs="方正仿宋_GBK"/>
          <w:bCs w:val="0"/>
          <w:kern w:val="2"/>
        </w:rPr>
      </w:pPr>
    </w:p>
    <w:p w14:paraId="3C56DD56">
      <w:pPr>
        <w:pStyle w:val="2"/>
        <w:rPr>
          <w:rFonts w:hint="eastAsia" w:ascii="方正仿宋_GBK" w:hAnsi="方正仿宋_GBK" w:eastAsia="方正仿宋_GBK" w:cs="方正仿宋_GBK"/>
          <w:bCs w:val="0"/>
          <w:kern w:val="2"/>
        </w:rPr>
      </w:pPr>
    </w:p>
    <w:p w14:paraId="2C83D361">
      <w:pPr>
        <w:rPr>
          <w:rFonts w:hint="eastAsia" w:ascii="方正仿宋_GBK" w:hAnsi="方正仿宋_GBK" w:eastAsia="方正仿宋_GBK" w:cs="方正仿宋_GBK"/>
          <w:bCs w:val="0"/>
          <w:kern w:val="2"/>
        </w:rPr>
      </w:pPr>
    </w:p>
    <w:p w14:paraId="42A19677">
      <w:pPr>
        <w:pStyle w:val="2"/>
        <w:rPr>
          <w:rFonts w:hint="eastAsia" w:ascii="方正仿宋_GBK" w:hAnsi="方正仿宋_GBK" w:eastAsia="方正仿宋_GBK" w:cs="方正仿宋_GBK"/>
          <w:bCs w:val="0"/>
          <w:kern w:val="2"/>
        </w:rPr>
      </w:pPr>
    </w:p>
    <w:p w14:paraId="38108CEB">
      <w:pPr>
        <w:rPr>
          <w:rFonts w:hint="eastAsia" w:ascii="方正仿宋_GBK" w:hAnsi="方正仿宋_GBK" w:eastAsia="方正仿宋_GBK" w:cs="方正仿宋_GBK"/>
          <w:bCs w:val="0"/>
          <w:kern w:val="2"/>
        </w:rPr>
      </w:pPr>
    </w:p>
    <w:p w14:paraId="12080F16">
      <w:pPr>
        <w:pStyle w:val="2"/>
        <w:rPr>
          <w:rFonts w:hint="eastAsia" w:ascii="方正仿宋_GBK" w:hAnsi="方正仿宋_GBK" w:eastAsia="方正仿宋_GBK" w:cs="方正仿宋_GBK"/>
          <w:bCs w:val="0"/>
          <w:kern w:val="2"/>
        </w:rPr>
      </w:pPr>
    </w:p>
    <w:p w14:paraId="74B78360">
      <w:pPr>
        <w:rPr>
          <w:rFonts w:hint="eastAsia" w:ascii="方正仿宋_GBK" w:hAnsi="方正仿宋_GBK" w:eastAsia="方正仿宋_GBK" w:cs="方正仿宋_GBK"/>
          <w:bCs w:val="0"/>
          <w:kern w:val="2"/>
        </w:rPr>
      </w:pPr>
    </w:p>
    <w:p w14:paraId="66E3293A">
      <w:pPr>
        <w:pStyle w:val="2"/>
        <w:rPr>
          <w:rFonts w:hint="eastAsia" w:ascii="方正仿宋_GBK" w:hAnsi="方正仿宋_GBK" w:eastAsia="方正仿宋_GBK" w:cs="方正仿宋_GBK"/>
          <w:bCs w:val="0"/>
          <w:kern w:val="2"/>
        </w:rPr>
      </w:pPr>
    </w:p>
    <w:p w14:paraId="692D4653">
      <w:pPr>
        <w:rPr>
          <w:rFonts w:hint="eastAsia" w:ascii="方正仿宋_GBK" w:hAnsi="方正仿宋_GBK" w:eastAsia="方正仿宋_GBK" w:cs="方正仿宋_GBK"/>
          <w:bCs w:val="0"/>
          <w:kern w:val="2"/>
        </w:rPr>
      </w:pPr>
    </w:p>
    <w:p w14:paraId="48C24C18">
      <w:pPr>
        <w:pStyle w:val="2"/>
        <w:rPr>
          <w:rFonts w:hint="eastAsia" w:ascii="方正仿宋_GBK" w:hAnsi="方正仿宋_GBK" w:eastAsia="方正仿宋_GBK" w:cs="方正仿宋_GBK"/>
          <w:bCs w:val="0"/>
          <w:kern w:val="2"/>
        </w:rPr>
      </w:pPr>
    </w:p>
    <w:p w14:paraId="14F41FDB">
      <w:pPr>
        <w:rPr>
          <w:rFonts w:hint="eastAsia" w:ascii="方正仿宋_GBK" w:hAnsi="方正仿宋_GBK" w:eastAsia="方正仿宋_GBK" w:cs="方正仿宋_GBK"/>
          <w:bCs w:val="0"/>
          <w:kern w:val="2"/>
        </w:rPr>
      </w:pPr>
    </w:p>
    <w:p w14:paraId="4A3FD68B">
      <w:pPr>
        <w:pStyle w:val="2"/>
        <w:rPr>
          <w:rFonts w:hint="eastAsia" w:ascii="方正仿宋_GBK" w:hAnsi="方正仿宋_GBK" w:eastAsia="方正仿宋_GBK" w:cs="方正仿宋_GBK"/>
          <w:bCs w:val="0"/>
          <w:kern w:val="2"/>
        </w:rPr>
      </w:pPr>
    </w:p>
    <w:p w14:paraId="08F76858">
      <w:pPr>
        <w:rPr>
          <w:rFonts w:hint="eastAsia" w:ascii="方正仿宋_GBK" w:hAnsi="方正仿宋_GBK" w:eastAsia="方正仿宋_GBK" w:cs="方正仿宋_GBK"/>
          <w:bCs w:val="0"/>
          <w:kern w:val="2"/>
        </w:rPr>
      </w:pPr>
    </w:p>
    <w:p w14:paraId="4270DCF1">
      <w:pPr>
        <w:pStyle w:val="2"/>
        <w:rPr>
          <w:rFonts w:hint="eastAsia" w:ascii="方正仿宋_GBK" w:hAnsi="方正仿宋_GBK" w:eastAsia="方正仿宋_GBK" w:cs="方正仿宋_GBK"/>
          <w:bCs w:val="0"/>
          <w:kern w:val="2"/>
        </w:rPr>
      </w:pPr>
    </w:p>
    <w:p w14:paraId="133B4DDC">
      <w:pPr>
        <w:rPr>
          <w:rFonts w:hint="eastAsia" w:ascii="方正仿宋_GBK" w:hAnsi="方正仿宋_GBK" w:eastAsia="方正仿宋_GBK" w:cs="方正仿宋_GBK"/>
          <w:bCs w:val="0"/>
          <w:kern w:val="2"/>
        </w:rPr>
      </w:pPr>
    </w:p>
    <w:p w14:paraId="60CB23C6">
      <w:pPr>
        <w:pStyle w:val="2"/>
        <w:rPr>
          <w:rFonts w:hint="eastAsia" w:ascii="方正仿宋_GBK" w:hAnsi="方正仿宋_GBK" w:eastAsia="方正仿宋_GBK" w:cs="方正仿宋_GBK"/>
          <w:bCs w:val="0"/>
          <w:kern w:val="2"/>
        </w:rPr>
      </w:pPr>
    </w:p>
    <w:p w14:paraId="4B98E1CD">
      <w:pPr>
        <w:rPr>
          <w:rFonts w:hint="eastAsia" w:ascii="方正仿宋_GBK" w:hAnsi="方正仿宋_GBK" w:eastAsia="方正仿宋_GBK" w:cs="方正仿宋_GBK"/>
          <w:bCs w:val="0"/>
          <w:kern w:val="2"/>
        </w:rPr>
      </w:pPr>
    </w:p>
    <w:p w14:paraId="3283E95D">
      <w:pPr>
        <w:pStyle w:val="2"/>
        <w:rPr>
          <w:rFonts w:hint="eastAsia" w:ascii="方正仿宋_GBK" w:hAnsi="方正仿宋_GBK" w:eastAsia="方正仿宋_GBK" w:cs="方正仿宋_GBK"/>
          <w:bCs w:val="0"/>
          <w:kern w:val="2"/>
        </w:rPr>
      </w:pPr>
    </w:p>
    <w:p w14:paraId="4C45E90A">
      <w:pPr>
        <w:rPr>
          <w:rFonts w:hint="eastAsia" w:ascii="方正仿宋_GBK" w:hAnsi="方正仿宋_GBK" w:eastAsia="方正仿宋_GBK" w:cs="方正仿宋_GBK"/>
          <w:bCs w:val="0"/>
          <w:kern w:val="2"/>
        </w:rPr>
      </w:pPr>
    </w:p>
    <w:p w14:paraId="77C94AE5">
      <w:pPr>
        <w:pStyle w:val="2"/>
        <w:rPr>
          <w:rFonts w:hint="eastAsia" w:ascii="方正仿宋_GBK" w:hAnsi="方正仿宋_GBK" w:eastAsia="方正仿宋_GBK" w:cs="方正仿宋_GBK"/>
          <w:bCs w:val="0"/>
          <w:kern w:val="2"/>
        </w:rPr>
      </w:pPr>
    </w:p>
    <w:p w14:paraId="17654D4B">
      <w:pPr>
        <w:rPr>
          <w:rFonts w:hint="eastAsia" w:ascii="方正仿宋_GBK" w:hAnsi="方正仿宋_GBK" w:eastAsia="方正仿宋_GBK" w:cs="方正仿宋_GBK"/>
          <w:bCs w:val="0"/>
          <w:kern w:val="2"/>
        </w:rPr>
      </w:pPr>
    </w:p>
    <w:p w14:paraId="5E2799AE">
      <w:pPr>
        <w:pStyle w:val="2"/>
        <w:rPr>
          <w:rFonts w:hint="eastAsia" w:ascii="方正仿宋_GBK" w:hAnsi="方正仿宋_GBK" w:eastAsia="方正仿宋_GBK" w:cs="方正仿宋_GBK"/>
          <w:bCs w:val="0"/>
          <w:kern w:val="2"/>
        </w:rPr>
      </w:pPr>
    </w:p>
    <w:p w14:paraId="3ED04B3A">
      <w:pPr>
        <w:rPr>
          <w:rFonts w:hint="eastAsia" w:ascii="方正仿宋_GBK" w:hAnsi="方正仿宋_GBK" w:eastAsia="方正仿宋_GBK" w:cs="方正仿宋_GBK"/>
          <w:bCs w:val="0"/>
          <w:kern w:val="2"/>
        </w:rPr>
      </w:pPr>
    </w:p>
    <w:p w14:paraId="46C37462">
      <w:pPr>
        <w:pStyle w:val="2"/>
        <w:rPr>
          <w:rFonts w:hint="eastAsia" w:ascii="方正仿宋_GBK" w:hAnsi="方正仿宋_GBK" w:eastAsia="方正仿宋_GBK" w:cs="方正仿宋_GBK"/>
          <w:bCs w:val="0"/>
          <w:kern w:val="2"/>
        </w:rPr>
      </w:pPr>
    </w:p>
    <w:p w14:paraId="38A4AC49">
      <w:pPr>
        <w:rPr>
          <w:rFonts w:hint="eastAsia" w:ascii="方正仿宋_GBK" w:hAnsi="方正仿宋_GBK" w:eastAsia="方正仿宋_GBK" w:cs="方正仿宋_GBK"/>
          <w:bCs w:val="0"/>
          <w:kern w:val="2"/>
        </w:rPr>
      </w:pPr>
    </w:p>
    <w:p w14:paraId="01FBD829">
      <w:pPr>
        <w:pStyle w:val="2"/>
        <w:rPr>
          <w:rFonts w:hint="eastAsia" w:ascii="方正仿宋_GBK" w:hAnsi="方正仿宋_GBK" w:eastAsia="方正仿宋_GBK" w:cs="方正仿宋_GBK"/>
          <w:bCs w:val="0"/>
          <w:kern w:val="2"/>
        </w:rPr>
      </w:pPr>
    </w:p>
    <w:p w14:paraId="1B3CB609">
      <w:pPr>
        <w:rPr>
          <w:rFonts w:hint="eastAsia"/>
        </w:rPr>
      </w:pPr>
    </w:p>
    <w:p w14:paraId="565FAFC4">
      <w:pPr>
        <w:pStyle w:val="2"/>
        <w:rPr>
          <w:rFonts w:hint="eastAsia"/>
        </w:rPr>
      </w:pPr>
    </w:p>
    <w:p w14:paraId="47C8B569">
      <w:pPr>
        <w:rPr>
          <w:rFonts w:hint="eastAsia"/>
        </w:rPr>
      </w:pPr>
    </w:p>
    <w:p w14:paraId="45A98881">
      <w:pPr>
        <w:pStyle w:val="4"/>
        <w:pageBreakBefore w:val="0"/>
        <w:kinsoku/>
        <w:wordWrap/>
        <w:overflowPunct/>
        <w:topLinePunct w:val="0"/>
        <w:autoSpaceDE/>
        <w:autoSpaceDN/>
        <w:bidi w:val="0"/>
        <w:spacing w:line="400" w:lineRule="exact"/>
        <w:jc w:val="center"/>
        <w:textAlignment w:val="auto"/>
        <w:rPr>
          <w:rFonts w:ascii="方正仿宋_GBK" w:hAnsi="方正仿宋_GBK" w:eastAsia="方正仿宋_GBK" w:cs="方正仿宋_GBK"/>
          <w:bCs w:val="0"/>
          <w:kern w:val="2"/>
        </w:rPr>
      </w:pPr>
      <w:r>
        <w:rPr>
          <w:rFonts w:hint="eastAsia" w:ascii="方正仿宋_GBK" w:hAnsi="方正仿宋_GBK" w:eastAsia="方正仿宋_GBK" w:cs="方正仿宋_GBK"/>
          <w:bCs w:val="0"/>
          <w:kern w:val="2"/>
        </w:rPr>
        <w:t>第二部分 通用合同条款</w:t>
      </w:r>
      <w:bookmarkEnd w:id="610"/>
      <w:bookmarkEnd w:id="611"/>
      <w:bookmarkEnd w:id="612"/>
    </w:p>
    <w:bookmarkEnd w:id="613"/>
    <w:bookmarkEnd w:id="614"/>
    <w:p w14:paraId="6CB68EE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17" w:name="_Toc3934"/>
      <w:bookmarkStart w:id="618" w:name="_Toc29398"/>
      <w:bookmarkStart w:id="619" w:name="_Toc24913"/>
      <w:r>
        <w:rPr>
          <w:rFonts w:hint="eastAsia" w:ascii="方正仿宋_GBK" w:hAnsi="方正仿宋_GBK" w:eastAsia="方正仿宋_GBK" w:cs="方正仿宋_GBK"/>
          <w:bCs/>
          <w:sz w:val="28"/>
          <w:szCs w:val="28"/>
        </w:rPr>
        <w:t>1、一般约定</w:t>
      </w:r>
    </w:p>
    <w:p w14:paraId="59FAF99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20" w:name="_Toc512156461"/>
      <w:bookmarkStart w:id="621" w:name="_Toc7065"/>
      <w:r>
        <w:rPr>
          <w:rFonts w:hint="eastAsia" w:ascii="方正仿宋_GBK" w:hAnsi="方正仿宋_GBK" w:eastAsia="方正仿宋_GBK" w:cs="方正仿宋_GBK"/>
          <w:bCs/>
          <w:sz w:val="28"/>
          <w:szCs w:val="28"/>
        </w:rPr>
        <w:t>1.1词语定义</w:t>
      </w:r>
      <w:bookmarkEnd w:id="620"/>
      <w:bookmarkEnd w:id="621"/>
    </w:p>
    <w:p w14:paraId="43681C6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1.1.1合同</w:t>
      </w:r>
    </w:p>
    <w:p w14:paraId="0B94FEF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1.1.1.1合同文件（或称合同）：指合同协议书、</w:t>
      </w:r>
      <w:r>
        <w:rPr>
          <w:rFonts w:hint="eastAsia" w:ascii="方正仿宋_GBK" w:hAnsi="方正仿宋_GBK" w:eastAsia="方正仿宋_GBK" w:cs="方正仿宋_GBK"/>
          <w:bCs/>
          <w:sz w:val="28"/>
          <w:szCs w:val="28"/>
          <w:lang w:eastAsia="zh-CN"/>
        </w:rPr>
        <w:t>成交通知书</w:t>
      </w:r>
      <w:r>
        <w:rPr>
          <w:rFonts w:hint="eastAsia" w:ascii="方正仿宋_GBK" w:hAnsi="方正仿宋_GBK" w:eastAsia="方正仿宋_GBK" w:cs="方正仿宋_GBK"/>
          <w:bCs/>
          <w:sz w:val="28"/>
          <w:szCs w:val="28"/>
        </w:rPr>
        <w:t>、投标函、商务和技术偏差表、专用合同条款、通用合同条款、供货要求、分项报价表、中标设备技术性能指标的详细描述、技术服务和质保期服务计划，以及其他构成合同组成部分的文件。</w:t>
      </w:r>
    </w:p>
    <w:p w14:paraId="12AAA15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1.1.1.2合同协议书：指买方和卖方共同签署的合同协议书。</w:t>
      </w:r>
    </w:p>
    <w:p w14:paraId="46D9817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1.1.1.3</w:t>
      </w:r>
      <w:r>
        <w:rPr>
          <w:rFonts w:hint="eastAsia" w:ascii="方正仿宋_GBK" w:hAnsi="方正仿宋_GBK" w:eastAsia="方正仿宋_GBK" w:cs="方正仿宋_GBK"/>
          <w:bCs/>
          <w:sz w:val="28"/>
          <w:szCs w:val="28"/>
          <w:lang w:eastAsia="zh-CN"/>
        </w:rPr>
        <w:t>成交通知书</w:t>
      </w:r>
      <w:r>
        <w:rPr>
          <w:rFonts w:hint="eastAsia" w:ascii="方正仿宋_GBK" w:hAnsi="方正仿宋_GBK" w:eastAsia="方正仿宋_GBK" w:cs="方正仿宋_GBK"/>
          <w:bCs/>
          <w:sz w:val="28"/>
          <w:szCs w:val="28"/>
        </w:rPr>
        <w:t>：指买方通知卖方中标的函件。</w:t>
      </w:r>
    </w:p>
    <w:p w14:paraId="2C348BC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1.1.1.4投标函：指由卖方填写并签署的，名为“投标函”的函件。</w:t>
      </w:r>
    </w:p>
    <w:p w14:paraId="5758ED4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1.1.1.5商务和技术偏差表：指卖方投标文件中的商务和技术偏差表。</w:t>
      </w:r>
    </w:p>
    <w:p w14:paraId="307ECF9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1.1.1.6供货要求：指合同文件中名为“供货要求”的文件。</w:t>
      </w:r>
    </w:p>
    <w:p w14:paraId="4DF7F62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1.1.1.7中标设备技术性能指标的详细描述：指卖方投标文件中的投标设备技术性能指标的详细描述。</w:t>
      </w:r>
    </w:p>
    <w:p w14:paraId="3FB0B7B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1.1.1.8技术服务和质保期服务计划：指卖方投标文件中的技术服务和质保期服务计划。</w:t>
      </w:r>
    </w:p>
    <w:p w14:paraId="7567F80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1.1.1.9分项报价表：指卖方投标文件中的分项报价表。</w:t>
      </w:r>
    </w:p>
    <w:p w14:paraId="599817E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1.1.1.10其他合同文件：指经合同双方当事人确认构成合同文件的其他文件。</w:t>
      </w:r>
    </w:p>
    <w:p w14:paraId="3D13689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1.1.2合同当事人</w:t>
      </w:r>
    </w:p>
    <w:p w14:paraId="77E5715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1.1.2.1合同当事人：指买方和（或）卖方。</w:t>
      </w:r>
    </w:p>
    <w:p w14:paraId="6B5D3D5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1.1.2.2买方：指与卖方签订合同协议书，购买合同设备和技术服务和质保期服务的当事人，及其合法继承人。</w:t>
      </w:r>
    </w:p>
    <w:p w14:paraId="5081AC4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1.1.2.3卖方：指与买方签订合同协议书，提供合同设备和技术服务和质保期服务的当事人，及其合法继承人。</w:t>
      </w:r>
    </w:p>
    <w:p w14:paraId="3EA16C8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1.1.3合同价格</w:t>
      </w:r>
    </w:p>
    <w:p w14:paraId="56CF382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1.1.3.1签约合同价：是签订合同时合同协议书中写明的合同总金额。</w:t>
      </w:r>
    </w:p>
    <w:p w14:paraId="3D3CB1A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1.1.3.2合同价格：指卖方按合同约定履行了全部合同义务后，买方应付给卖方的金额。</w:t>
      </w:r>
    </w:p>
    <w:p w14:paraId="253CC7B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1.1.4合同设备：指卖方按合同约定应向买方提供的设备、装置、备品、备件、易损易耗件、</w:t>
      </w:r>
      <w:bookmarkStart w:id="622" w:name="51"/>
      <w:bookmarkEnd w:id="622"/>
      <w:r>
        <w:rPr>
          <w:rFonts w:hint="eastAsia" w:ascii="方正仿宋_GBK" w:hAnsi="方正仿宋_GBK" w:eastAsia="方正仿宋_GBK" w:cs="方正仿宋_GBK"/>
          <w:bCs/>
          <w:sz w:val="28"/>
          <w:szCs w:val="28"/>
        </w:rPr>
        <w:t>配套使用的软件或其他辅助电子应用程序及技术资料，或其中任何一部分。</w:t>
      </w:r>
    </w:p>
    <w:p w14:paraId="48C94DA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1.1.5技术资料：指各种纸质及电子载体的与合同设备的设计、检验、安装、调试、考核、操作、维修以及保养等有关的技术指标、规格、图纸和说明文件。</w:t>
      </w:r>
    </w:p>
    <w:p w14:paraId="1508384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1.1.6安装：指对合同设备进行的组装、连接以及根据需要将合同设备固定在施工场地内一定的位置上，使其就位并与相关设备、工程实现连接。</w:t>
      </w:r>
    </w:p>
    <w:p w14:paraId="76AA9D4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1.1.7调试：指在合同设备安装完成后，对合同设备所进行的调校和测试。</w:t>
      </w:r>
    </w:p>
    <w:p w14:paraId="7DBE5FA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1.1.8考核：指在合同设备调试完成后，对合同设备进行的用于确定其是否达到合同约定的技术性能考核指标的考核。</w:t>
      </w:r>
    </w:p>
    <w:p w14:paraId="112C865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1.1.9验收：指合同设备通过考核达到合同约定的技术性能考核指标后，买方作出接受合同设备的确认。</w:t>
      </w:r>
    </w:p>
    <w:p w14:paraId="3A49074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1.1.10技术服务：指卖方按合同约定，在合同设备验收前，向买方提供的安装、调试服务，或者在由买方负责的安装、调试、考核中对买方进行的技术指导、协助、监督和培训等。</w:t>
      </w:r>
    </w:p>
    <w:p w14:paraId="300E698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1.1.11质量保证期：指合同设备验收后，卖方按合同约定保证合同设备适当、稳定运行，</w:t>
      </w:r>
    </w:p>
    <w:p w14:paraId="335EAE3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并负责消除合同设备故障的期限。</w:t>
      </w:r>
    </w:p>
    <w:p w14:paraId="06B9896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1.1.12质保期服务：指在质量保证期内，卖方向买方提供的合同设备维护服务、咨询服务、</w:t>
      </w:r>
    </w:p>
    <w:p w14:paraId="2CD2D9C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技术指导、协助以及对出现故障的合同设备进行修理或更换的服务。</w:t>
      </w:r>
    </w:p>
    <w:p w14:paraId="156CB57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1.1.13工程</w:t>
      </w:r>
    </w:p>
    <w:p w14:paraId="0CB332E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1.1.13.1工程：指在专用合同条款中指明的，安装运行合同设备的工程。</w:t>
      </w:r>
    </w:p>
    <w:p w14:paraId="62C9976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1.1.13.2施工场地（或称工地、施工现场）：指专用合同条款中指明的工程所在场所。</w:t>
      </w:r>
    </w:p>
    <w:p w14:paraId="59435E8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1.1.14天（或称日）：除特别指明外，指日历天。合同中按天计算时间的，开始当天不计入，</w:t>
      </w:r>
    </w:p>
    <w:p w14:paraId="5035E59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从次日开始计算。合同约定的期间的最后一天是星期日或者其他法定休假日的，以休假日的次日为期间的最后一天。</w:t>
      </w:r>
    </w:p>
    <w:p w14:paraId="1921AAE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1.1.15月：按照公历月计算。合同中按月计算时间的，开始当天不计入，从次日开始计算。</w:t>
      </w:r>
    </w:p>
    <w:p w14:paraId="14D76D7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合同约定的期间的最后一天是星期日或者其他法定休假日的，以休假日的次日为期间的最后一天。</w:t>
      </w:r>
    </w:p>
    <w:p w14:paraId="4D2DCAD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1.1.16书面形式：指合同文件、信件和数据电文（包括电报、电传、传真、电子数据交换和电子邮件）等可以有形地表现所载内容的形式。</w:t>
      </w:r>
    </w:p>
    <w:p w14:paraId="14CAF1E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23" w:name="_Toc4625"/>
      <w:bookmarkStart w:id="624" w:name="_Toc512156462"/>
      <w:r>
        <w:rPr>
          <w:rFonts w:hint="eastAsia" w:ascii="方正仿宋_GBK" w:hAnsi="方正仿宋_GBK" w:eastAsia="方正仿宋_GBK" w:cs="方正仿宋_GBK"/>
          <w:bCs/>
          <w:sz w:val="28"/>
          <w:szCs w:val="28"/>
        </w:rPr>
        <w:t>1.2语言文字</w:t>
      </w:r>
      <w:bookmarkEnd w:id="623"/>
      <w:bookmarkEnd w:id="624"/>
    </w:p>
    <w:p w14:paraId="0572B10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合同使用的语言文字为中文。专用术语使用外文的，应附有中文注释。</w:t>
      </w:r>
      <w:bookmarkStart w:id="625" w:name="52"/>
      <w:bookmarkEnd w:id="625"/>
    </w:p>
    <w:p w14:paraId="6B916EC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26" w:name="_Toc45"/>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26" name="任意多边形 10"/>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249C9A6A"/>
                        </w:txbxContent>
                      </wps:txbx>
                      <wps:bodyPr upright="1"/>
                    </wps:wsp>
                  </a:graphicData>
                </a:graphic>
              </wp:anchor>
            </w:drawing>
          </mc:Choice>
          <mc:Fallback>
            <w:pict>
              <v:shape id="任意多边形 10"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RZh8Z2AAA&#10;AAcBAAAPAAAAAAAAAAEAIAAAACIAAABkcnMvZG93bnJldi54bWxQSwECFAAUAAAACACHTuJAQgd0&#10;/OUBAAC/AwAADgAAAAAAAAABACAAAAAnAQAAZHJzL2Uyb0RvYy54bWxQSwUGAAAAAAYABgBZAQAA&#10;fgUAAAAA&#10;" path="xe">
                <v:path textboxrect="0,0,21600,21600"/>
                <v:fill on="f" focussize="0,0"/>
                <v:stroke on="f"/>
                <v:imagedata o:title=""/>
                <o:lock v:ext="edit" aspectratio="f"/>
                <v:textbox>
                  <w:txbxContent>
                    <w:p w14:paraId="249C9A6A"/>
                  </w:txbxContent>
                </v:textbox>
              </v:shape>
            </w:pict>
          </mc:Fallback>
        </mc:AlternateContent>
      </w:r>
      <w:bookmarkStart w:id="627" w:name="_Toc512156463"/>
      <w:r>
        <w:rPr>
          <w:rFonts w:hint="eastAsia" w:ascii="方正仿宋_GBK" w:hAnsi="方正仿宋_GBK" w:eastAsia="方正仿宋_GBK" w:cs="方正仿宋_GBK"/>
          <w:bCs/>
          <w:sz w:val="28"/>
          <w:szCs w:val="28"/>
        </w:rPr>
        <w:t>1.3合同文件的优先顺序</w:t>
      </w:r>
      <w:bookmarkEnd w:id="626"/>
      <w:bookmarkEnd w:id="627"/>
    </w:p>
    <w:p w14:paraId="7CE829C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组成合同的各项文件应互相解释，互为说明。除专用合同条款另有约定外，解释合同文件的优先顺序如下：</w:t>
      </w:r>
    </w:p>
    <w:p w14:paraId="24FB69B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（1）合同协议书；</w:t>
      </w:r>
    </w:p>
    <w:p w14:paraId="53745D1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w:t>
      </w:r>
      <w:r>
        <w:rPr>
          <w:rFonts w:hint="eastAsia" w:ascii="方正仿宋_GBK" w:hAnsi="方正仿宋_GBK" w:eastAsia="方正仿宋_GBK" w:cs="方正仿宋_GBK"/>
          <w:bCs/>
          <w:sz w:val="28"/>
          <w:szCs w:val="28"/>
          <w:lang w:eastAsia="zh-CN"/>
        </w:rPr>
        <w:t>成交通知书</w:t>
      </w:r>
      <w:r>
        <w:rPr>
          <w:rFonts w:hint="eastAsia" w:ascii="方正仿宋_GBK" w:hAnsi="方正仿宋_GBK" w:eastAsia="方正仿宋_GBK" w:cs="方正仿宋_GBK"/>
          <w:bCs/>
          <w:sz w:val="28"/>
          <w:szCs w:val="28"/>
        </w:rPr>
        <w:t>；</w:t>
      </w:r>
    </w:p>
    <w:p w14:paraId="4465753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（3）投标函；</w:t>
      </w:r>
    </w:p>
    <w:p w14:paraId="7BBAC01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（4）商务和技术偏差表；</w:t>
      </w:r>
    </w:p>
    <w:p w14:paraId="6938CB8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（5）专用合同条款；</w:t>
      </w:r>
    </w:p>
    <w:p w14:paraId="768381B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（6）通用合同条款；</w:t>
      </w:r>
    </w:p>
    <w:p w14:paraId="79C9642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（7）供货要求；</w:t>
      </w:r>
    </w:p>
    <w:p w14:paraId="68259B0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（8）分项报价表；</w:t>
      </w:r>
    </w:p>
    <w:p w14:paraId="569BDB2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（9）中标设备技术性能指标的详细描述；</w:t>
      </w:r>
    </w:p>
    <w:p w14:paraId="1297A32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（10）技术服务和质保期服务计划；</w:t>
      </w:r>
    </w:p>
    <w:p w14:paraId="07953AF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（11）其他合同文件。</w:t>
      </w:r>
    </w:p>
    <w:p w14:paraId="2A272A5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28" w:name="_Toc21444"/>
      <w:bookmarkStart w:id="629" w:name="_Toc512156464"/>
      <w:r>
        <w:rPr>
          <w:rFonts w:hint="eastAsia" w:ascii="方正仿宋_GBK" w:hAnsi="方正仿宋_GBK" w:eastAsia="方正仿宋_GBK" w:cs="方正仿宋_GBK"/>
          <w:bCs/>
          <w:sz w:val="28"/>
          <w:szCs w:val="28"/>
        </w:rPr>
        <w:t>1.4合同的生效及变更</w:t>
      </w:r>
      <w:bookmarkEnd w:id="628"/>
      <w:bookmarkEnd w:id="629"/>
    </w:p>
    <w:p w14:paraId="04FD39F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1.4.1除专用合同条款另有约定外，买方和卖方的法定代表人（单位负责人）或其授权代表在合同协议书上签字并加盖单位章后，合同生效。</w:t>
      </w:r>
    </w:p>
    <w:p w14:paraId="5C9CAE0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1.4.2除专用合同条款另有约定外，在合同履行过程中，如需对合同进行变更，双方应签订书面协议，并经双方法定代表人（单位负责人）或其授权代表签字并加盖单位章后生效。</w:t>
      </w:r>
    </w:p>
    <w:p w14:paraId="51E65D9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30" w:name="_Toc2031"/>
      <w:bookmarkStart w:id="631" w:name="_Toc512156465"/>
      <w:r>
        <w:rPr>
          <w:rFonts w:hint="eastAsia" w:ascii="方正仿宋_GBK" w:hAnsi="方正仿宋_GBK" w:eastAsia="方正仿宋_GBK" w:cs="方正仿宋_GBK"/>
          <w:bCs/>
          <w:sz w:val="28"/>
          <w:szCs w:val="28"/>
        </w:rPr>
        <w:t>1.5联络</w:t>
      </w:r>
      <w:bookmarkEnd w:id="630"/>
      <w:bookmarkEnd w:id="631"/>
    </w:p>
    <w:p w14:paraId="3A1EB19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1.5.1买卖双方应就合同履行中有关的事项及时进行联络，重要事项应通过书面形式进行联络或确认。合同履行过程中的任何联络及相关文件的签署，均应通过专用合同条款指定的联系人和联系方式进行。合同履行过程中，双方可以书面形式增加或变更指定联系人。</w:t>
      </w:r>
    </w:p>
    <w:p w14:paraId="4C1053A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1.5.2合同履行中或与合同有关的任何联络，送达到第 1.5.1 项指定的联系人即视为送达。</w:t>
      </w:r>
    </w:p>
    <w:p w14:paraId="2257A78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1.5.3买方可以安排监理等相关人员作为买方人员，与卖方进行联络或参加合同设备的监造（如有）、交货前检验（如有）、开箱检验、安装、调试、考核、验收等，但应按照第1.5.1项的约定事先书面通知卖方。</w:t>
      </w:r>
      <w:bookmarkStart w:id="632" w:name="53"/>
      <w:bookmarkEnd w:id="632"/>
    </w:p>
    <w:p w14:paraId="35869E1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33" w:name="_Toc1163"/>
      <w:bookmarkStart w:id="634" w:name="_Toc512156466"/>
      <w:r>
        <w:rPr>
          <w:rFonts w:hint="eastAsia" w:ascii="方正仿宋_GBK" w:hAnsi="方正仿宋_GBK" w:eastAsia="方正仿宋_GBK" w:cs="方正仿宋_GBK"/>
          <w:bCs/>
          <w:sz w:val="28"/>
          <w:szCs w:val="28"/>
        </w:rPr>
        <w:t>1.6联合体</w:t>
      </w:r>
      <w:bookmarkEnd w:id="633"/>
      <w:bookmarkEnd w:id="634"/>
    </w:p>
    <w:p w14:paraId="668AE1A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1.6.1卖方为联合体的，联合体各方应当共同与买方签订合同，并向买方为履行合同承担连带责任。</w:t>
      </w:r>
    </w:p>
    <w:p w14:paraId="194EAAB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1.6.2在合同履行过程中，未经买方同意，不得修改联合体协议。联合体协议中关于联合体成员间权利义务的划分，并不影响或减损联合体各方应就履行合同向买方承担的连带责任。</w:t>
      </w:r>
    </w:p>
    <w:p w14:paraId="136726C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1.6.3联合体牵头人代表联合体与买方联系，并接受指示，负责组织联合体各成员全面履行合同。除非专用合同条款另有约定，牵头人在履行合同中的所有行为均视为已获得联合体各方的授权。买方可将合同价款全部支付给牵头人并视为其已适当履行了付款义务。如牵头人的行为将构成对合同内容的变更，则牵头人须事先获得联合体各方的特别授权。</w:t>
      </w:r>
    </w:p>
    <w:p w14:paraId="610CCF6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1.7转让</w:t>
      </w:r>
    </w:p>
    <w:p w14:paraId="49BF197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未经对方当事人书面同意，合同任何一方均不得转让其在合同项下的权利和（或）义务。</w:t>
      </w:r>
    </w:p>
    <w:p w14:paraId="6E74C33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35" w:name="_Toc512156467"/>
      <w:bookmarkStart w:id="636" w:name="_Toc4493"/>
      <w:r>
        <w:rPr>
          <w:rFonts w:hint="eastAsia" w:ascii="方正仿宋_GBK" w:hAnsi="方正仿宋_GBK" w:eastAsia="方正仿宋_GBK" w:cs="方正仿宋_GBK"/>
          <w:bCs/>
          <w:sz w:val="28"/>
          <w:szCs w:val="28"/>
        </w:rPr>
        <w:t>2、合同范围</w:t>
      </w:r>
      <w:bookmarkEnd w:id="635"/>
      <w:bookmarkEnd w:id="636"/>
    </w:p>
    <w:p w14:paraId="2FE9EB0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卖方应根据供货要求、中标设备技术性能指标的详细描述、技术服务和质保期服务计划等合同文件的约定向买方提供合同设备、技术服务和质保期服务。</w:t>
      </w:r>
    </w:p>
    <w:p w14:paraId="60591F8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37" w:name="_Toc14195"/>
      <w:r>
        <w:rPr>
          <w:rFonts w:hint="eastAsia" w:ascii="方正仿宋_GBK" w:hAnsi="方正仿宋_GBK" w:eastAsia="方正仿宋_GBK" w:cs="方正仿宋_GBK"/>
          <w:bCs/>
          <w:sz w:val="28"/>
          <w:szCs w:val="28"/>
        </w:rPr>
        <w:t>3、合同价格与支付</w:t>
      </w:r>
      <w:bookmarkEnd w:id="637"/>
    </w:p>
    <w:p w14:paraId="3510E1B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38" w:name="_Toc7853"/>
      <w:r>
        <w:rPr>
          <w:rFonts w:hint="eastAsia" w:ascii="方正仿宋_GBK" w:hAnsi="方正仿宋_GBK" w:eastAsia="方正仿宋_GBK" w:cs="方正仿宋_GBK"/>
          <w:bCs/>
          <w:sz w:val="28"/>
          <w:szCs w:val="28"/>
        </w:rPr>
        <w:t>3.1合同价格</w:t>
      </w:r>
      <w:bookmarkEnd w:id="638"/>
    </w:p>
    <w:p w14:paraId="6D8507A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3.1.1合同协议书中载明的签约合同价包括卖方为完成合同全部义务应承担的一切成本、费用和支出以及卖方的合理利润。</w:t>
      </w:r>
    </w:p>
    <w:p w14:paraId="0F9ABD6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3.1.2除专用合同条款另有约定外，签约合同价为固定价格。</w:t>
      </w:r>
    </w:p>
    <w:p w14:paraId="1D6C22D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39" w:name="_Toc24365"/>
      <w:r>
        <w:rPr>
          <w:rFonts w:hint="eastAsia" w:ascii="方正仿宋_GBK" w:hAnsi="方正仿宋_GBK" w:eastAsia="方正仿宋_GBK" w:cs="方正仿宋_GBK"/>
          <w:bCs/>
          <w:sz w:val="28"/>
          <w:szCs w:val="28"/>
        </w:rPr>
        <w:t>3.2合同价款的支付</w:t>
      </w:r>
      <w:bookmarkEnd w:id="639"/>
    </w:p>
    <w:p w14:paraId="159E76A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除专用合同条款另有约定外，买方应通过以下方式和比例向卖方支付合同价款：</w:t>
      </w:r>
    </w:p>
    <w:p w14:paraId="37B1B13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3.2.1预付款</w:t>
      </w:r>
    </w:p>
    <w:p w14:paraId="4CFAE65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合同生效后，买方在收到卖方开具的注明应付预付款金额的财务收据正本一份并经审核无误后 28 日内，向卖方支付签约合同价的 10%作为预付款。</w:t>
      </w:r>
      <w:bookmarkStart w:id="640" w:name="54"/>
      <w:bookmarkEnd w:id="640"/>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27" name="任意多边形 11"/>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bodyPr/>
                    </wps:wsp>
                  </a:graphicData>
                </a:graphic>
              </wp:anchor>
            </w:drawing>
          </mc:Choice>
          <mc:Fallback>
            <w:pict>
              <v:shape id="任意多边形 11"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DCj/u1gAAAAcBAAAPAAAAAAAAAAEA&#10;IAAAACIAAABkcnMvZG93bnJldi54bWxQSwECFAAUAAAACACHTuJAh0NbF9gBAACoAwAADgAAAAAA&#10;AAABACAAAAAlAQAAZHJzL2Uyb0RvYy54bWxQSwUGAAAAAAYABgBZAQAAbwUAAAAA&#10;" path="xe">
                <v:fill on="f" focussize="0,0"/>
                <v:stroke on="f"/>
                <v:imagedata o:title=""/>
                <o:lock v:ext="edit" aspectratio="f"/>
              </v:shape>
            </w:pict>
          </mc:Fallback>
        </mc:AlternateContent>
      </w:r>
      <w:r>
        <w:rPr>
          <w:rFonts w:hint="eastAsia" w:ascii="方正仿宋_GBK" w:hAnsi="方正仿宋_GBK" w:eastAsia="方正仿宋_GBK" w:cs="方正仿宋_GBK"/>
          <w:bCs/>
          <w:sz w:val="28"/>
          <w:szCs w:val="28"/>
        </w:rPr>
        <w:t>买方支付预付款后，如卖方未履行合同义务，则买方有权收回预付款；如卖方依约履行了合同义务，则预付款抵作合同价款</w:t>
      </w:r>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28" name="任意多边形 15"/>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6A79323F"/>
                        </w:txbxContent>
                      </wps:txbx>
                      <wps:bodyPr upright="1"/>
                    </wps:wsp>
                  </a:graphicData>
                </a:graphic>
              </wp:anchor>
            </w:drawing>
          </mc:Choice>
          <mc:Fallback>
            <w:pict>
              <v:shape id="任意多边形 15"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YfGdgA&#10;AAAHAQAADwAAAAAAAAABACAAAAAiAAAAZHJzL2Rvd25yZXYueG1sUEsBAhQAFAAAAAgAh07iQIf9&#10;vR3mAQAAvwMAAA4AAAAAAAAAAQAgAAAAJwEAAGRycy9lMm9Eb2MueG1sUEsFBgAAAAAGAAYAWQEA&#10;AH8FAAAAAA==&#10;" path="xe">
                <v:path textboxrect="0,0,21600,21600"/>
                <v:fill on="f" focussize="0,0"/>
                <v:stroke on="f"/>
                <v:imagedata o:title=""/>
                <o:lock v:ext="edit" aspectratio="f"/>
                <v:textbox>
                  <w:txbxContent>
                    <w:p w14:paraId="6A79323F"/>
                  </w:txbxContent>
                </v:textbox>
              </v:shape>
            </w:pict>
          </mc:Fallback>
        </mc:AlternateContent>
      </w:r>
      <w:r>
        <w:rPr>
          <w:rFonts w:hint="eastAsia" w:ascii="方正仿宋_GBK" w:hAnsi="方正仿宋_GBK" w:eastAsia="方正仿宋_GBK" w:cs="方正仿宋_GBK"/>
          <w:bCs/>
          <w:sz w:val="28"/>
          <w:szCs w:val="28"/>
        </w:rPr>
        <w:t>。</w:t>
      </w:r>
    </w:p>
    <w:p w14:paraId="24867D4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3.2.2交货款</w:t>
      </w:r>
    </w:p>
    <w:p w14:paraId="1572BE3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卖方按合同约定交付全部合同设备后，买方在收到卖方提交的下列全部单据并经审核无误后 28 日内，向卖方支付合同价格的 60%：</w:t>
      </w:r>
    </w:p>
    <w:p w14:paraId="13C04C5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（1）卖方出具的交货清单正本一份；</w:t>
      </w:r>
    </w:p>
    <w:p w14:paraId="092F8D3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（2）买方签署的收货清单正本一份；</w:t>
      </w:r>
    </w:p>
    <w:p w14:paraId="44A6A26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（3）制造商出具的出厂质量合格证正本一份；</w:t>
      </w:r>
    </w:p>
    <w:p w14:paraId="4A12CD2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（4）合同价格100%金额的增值税发票正本一份。</w:t>
      </w:r>
    </w:p>
    <w:p w14:paraId="5642E71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3.2.3验收款</w:t>
      </w:r>
    </w:p>
    <w:p w14:paraId="0E91017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买方在收到卖方提交的买卖双方签署的合同设备验收证书或已生效的验收款支付函正本一份并经审核无误后 28 日内，向卖方支付合同价格的 25%。</w:t>
      </w:r>
    </w:p>
    <w:p w14:paraId="1335A47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3.2.4结清款</w:t>
      </w:r>
    </w:p>
    <w:p w14:paraId="79835C7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买方在收到卖方提交的买方签署的质量保证期届满证书或已生效的结清款支付函正本一份并经审核无误后 28 日内，向卖方支付合同价格的 5%。</w:t>
      </w:r>
    </w:p>
    <w:p w14:paraId="446F8B5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如果依照合同第9.1项，卖方应向买方支付费用的，买方有权从结清款中直接扣除该笔费用。</w:t>
      </w:r>
    </w:p>
    <w:p w14:paraId="539F1AB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除专用合同条款另有约定外，在买方向卖方支付验收款的同时或其后的任何时间内，卖方可在向买方提交买方可接受的金额为合同价格 5%的合同结清款保函的前提下，要求买方支付合同结清款，买方不得拒绝。</w:t>
      </w:r>
    </w:p>
    <w:p w14:paraId="797C581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41" w:name="_Toc30803"/>
      <w:r>
        <w:rPr>
          <w:rFonts w:hint="eastAsia" w:ascii="方正仿宋_GBK" w:hAnsi="方正仿宋_GBK" w:eastAsia="方正仿宋_GBK" w:cs="方正仿宋_GBK"/>
          <w:bCs/>
          <w:sz w:val="28"/>
          <w:szCs w:val="28"/>
        </w:rPr>
        <w:t>3.3买方扣款的权利</w:t>
      </w:r>
      <w:bookmarkEnd w:id="641"/>
    </w:p>
    <w:p w14:paraId="4D7982E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当卖方应向买方支付合同项下的违约金或赔偿金时，买方有权从上述任何一笔应付款中予以直接扣除和（或）兑付履约保证金。</w:t>
      </w:r>
    </w:p>
    <w:p w14:paraId="2764DA4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42" w:name="_Toc9563"/>
      <w:r>
        <w:rPr>
          <w:rFonts w:hint="eastAsia" w:ascii="方正仿宋_GBK" w:hAnsi="方正仿宋_GBK" w:eastAsia="方正仿宋_GBK" w:cs="方正仿宋_GBK"/>
          <w:bCs/>
          <w:sz w:val="28"/>
          <w:szCs w:val="28"/>
        </w:rPr>
        <w:t>4、监造及交货前检验</w:t>
      </w:r>
      <w:bookmarkEnd w:id="642"/>
    </w:p>
    <w:p w14:paraId="068DFF7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43" w:name="_Toc23431"/>
      <w:r>
        <w:rPr>
          <w:rFonts w:hint="eastAsia" w:ascii="方正仿宋_GBK" w:hAnsi="方正仿宋_GBK" w:eastAsia="方正仿宋_GBK" w:cs="方正仿宋_GBK"/>
          <w:bCs/>
          <w:sz w:val="28"/>
          <w:szCs w:val="28"/>
        </w:rPr>
        <w:t>4.1监造</w:t>
      </w:r>
      <w:bookmarkEnd w:id="643"/>
    </w:p>
    <w:p w14:paraId="08351EA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专用合同条款约定买方对合同设备进行监造的，双方应按本款及专用合同条款约定履行。</w:t>
      </w:r>
    </w:p>
    <w:p w14:paraId="114C99B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4.1.1在合同设备的制造过程中，买方可派出监造人员，对合同设备的生产制造进行监造，监督合同设备制造、检验等情况。监造的范围、方式等应符合专用合同条款和（或）供货要求</w:t>
      </w:r>
      <w:bookmarkStart w:id="644" w:name="55"/>
      <w:bookmarkEnd w:id="644"/>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29" name="任意多边形 16"/>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69B66ACA"/>
                        </w:txbxContent>
                      </wps:txbx>
                      <wps:bodyPr upright="1"/>
                    </wps:wsp>
                  </a:graphicData>
                </a:graphic>
              </wp:anchor>
            </w:drawing>
          </mc:Choice>
          <mc:Fallback>
            <w:pict>
              <v:shape id="任意多边形 16"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YfGdgA&#10;AAAHAQAADwAAAAAAAAABACAAAAAiAAAAZHJzL2Rvd25yZXYueG1sUEsBAhQAFAAAAAgAh07iQM13&#10;IvLmAQAAvwMAAA4AAAAAAAAAAQAgAAAAJwEAAGRycy9lMm9Eb2MueG1sUEsFBgAAAAAGAAYAWQEA&#10;AH8FAAAAAA==&#10;" path="xe">
                <v:path textboxrect="0,0,21600,21600"/>
                <v:fill on="f" focussize="0,0"/>
                <v:stroke on="f"/>
                <v:imagedata o:title=""/>
                <o:lock v:ext="edit" aspectratio="f"/>
                <v:textbox>
                  <w:txbxContent>
                    <w:p w14:paraId="69B66ACA"/>
                  </w:txbxContent>
                </v:textbox>
              </v:shape>
            </w:pict>
          </mc:Fallback>
        </mc:AlternateContent>
      </w:r>
      <w:r>
        <w:rPr>
          <w:rFonts w:hint="eastAsia" w:ascii="方正仿宋_GBK" w:hAnsi="方正仿宋_GBK" w:eastAsia="方正仿宋_GBK" w:cs="方正仿宋_GBK"/>
          <w:bCs/>
          <w:sz w:val="28"/>
          <w:szCs w:val="28"/>
        </w:rPr>
        <w:t>等合同文件的约定。</w:t>
      </w:r>
    </w:p>
    <w:p w14:paraId="73CA801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4.1.2除专用合同条款和（或）供货要求等合同文件另有约定外，买方监造人员可到合同设备及其关键部件的生产制造现场进行监造，卖方应予配合。卖方应免费为买方监造人员提供工作条件及便利，包括但不限于必要的办公场所、技术资料、检测工具及出入许可等。除专用合同条款另有约定外，买方监造人员的交通、食宿费用由买方承担。</w:t>
      </w:r>
    </w:p>
    <w:p w14:paraId="030664C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4.1.3卖方制订生产制造合同设备的进度计划时，应将买方监造纳入计划安排，并提前通知买方；买方进行监造不应影响合同设备的正常生产。除专用合同条款和（或）供货要求等合同文件另有约定外，卖方应提前 7 日将需要买方监造人员现场监造事项通知买方；如买方监造人员未按通知出席，不影响合同设备及其关键部件的制造或检验，但买方监造人员有权事后了解、查阅、复制相关制造或检验记录。</w:t>
      </w:r>
    </w:p>
    <w:p w14:paraId="6EDC62B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4.1.4买方监造人员在监造中如发现合同设备及其关键部件不符合合同约定的标准，则有权提出意见和建议。卖方应采取必要措施消除合同设备的不符，由此增加的费用和（或）造成的延误由卖方负责。</w:t>
      </w:r>
    </w:p>
    <w:p w14:paraId="295FE5B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4.1.5买方监造人员对合同设备的监造，不视为对合同设备质量的确认，不影响卖方交货后买方依照合同约定对合同设备提出质量异议和（或）退货的权利，也不免除卖方依照合同约定对合同设备所应承担的任何义务或责任。</w:t>
      </w:r>
    </w:p>
    <w:p w14:paraId="667F264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45" w:name="_Toc19757"/>
      <w:r>
        <w:rPr>
          <w:rFonts w:hint="eastAsia" w:ascii="方正仿宋_GBK" w:hAnsi="方正仿宋_GBK" w:eastAsia="方正仿宋_GBK" w:cs="方正仿宋_GBK"/>
          <w:bCs/>
          <w:sz w:val="28"/>
          <w:szCs w:val="28"/>
        </w:rPr>
        <w:t>4.2交货前检验</w:t>
      </w:r>
      <w:bookmarkEnd w:id="645"/>
    </w:p>
    <w:p w14:paraId="65231D8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专用合同条款约定买方参与交货前检验的，双方应按本款及专用合同条款约定履行。</w:t>
      </w:r>
    </w:p>
    <w:p w14:paraId="136B73B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4.2.1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专用合同条款另有约定外，买方代表的交通、食宿费用由买方承担。</w:t>
      </w:r>
    </w:p>
    <w:p w14:paraId="2C0CCD7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4.2.2除专用合同条款和（或）供货要求等合同文件另有约定外，卖方应提前 7 日将需要买方代表检验事项通知买方；如买方代表未按通知出席，不影响合同设备的检验。若卖方未依照合同约定提前通知买方而自行检验，则买方有权要求卖方暂停发货并重新进行检验，由此增加的费用和（或）造成的延误由卖方负责。</w:t>
      </w:r>
    </w:p>
    <w:p w14:paraId="4E7D3C3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4.2.3买方代表在检验中如发现合同设备不符合合同约定的标准，则有权提出异议。卖方应采取必要措施消除合同设备的不符，由此增加的费用和（或）造成的延误由卖方负责。</w:t>
      </w:r>
    </w:p>
    <w:p w14:paraId="3E5BE5E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4.2.4买方代表参与交货前检验及签署交货前检验记录的行为，不视为对合同设备质量的确认，不影响卖方交货后买方依照合同约定对合同设备提出质量异议和（或）退货的权利，也不</w:t>
      </w:r>
      <w:bookmarkStart w:id="646" w:name="56"/>
      <w:bookmarkEnd w:id="646"/>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0" name="任意多边形 17"/>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1846B961"/>
                        </w:txbxContent>
                      </wps:txbx>
                      <wps:bodyPr upright="1"/>
                    </wps:wsp>
                  </a:graphicData>
                </a:graphic>
              </wp:anchor>
            </w:drawing>
          </mc:Choice>
          <mc:Fallback>
            <w:pict>
              <v:shape id="任意多边形 17"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RZh8Z2AAA&#10;AAcBAAAPAAAAAAAAAAEAIAAAACIAAABkcnMvZG93bnJldi54bWxQSwECFAAUAAAACACHTuJAtefB&#10;7+UBAAC/AwAADgAAAAAAAAABACAAAAAnAQAAZHJzL2Uyb0RvYy54bWxQSwUGAAAAAAYABgBZAQAA&#10;fgUAAAAA&#10;" path="xe">
                <v:path textboxrect="0,0,21600,21600"/>
                <v:fill on="f" focussize="0,0"/>
                <v:stroke on="f"/>
                <v:imagedata o:title=""/>
                <o:lock v:ext="edit" aspectratio="f"/>
                <v:textbox>
                  <w:txbxContent>
                    <w:p w14:paraId="1846B961"/>
                  </w:txbxContent>
                </v:textbox>
              </v:shape>
            </w:pict>
          </mc:Fallback>
        </mc:AlternateContent>
      </w:r>
      <w:r>
        <w:rPr>
          <w:rFonts w:hint="eastAsia" w:ascii="方正仿宋_GBK" w:hAnsi="方正仿宋_GBK" w:eastAsia="方正仿宋_GBK" w:cs="方正仿宋_GBK"/>
          <w:bCs/>
          <w:sz w:val="28"/>
          <w:szCs w:val="28"/>
        </w:rPr>
        <w:t>免除卖方依照合同约定对合同设备所应承担的任何义务或责任。</w:t>
      </w:r>
    </w:p>
    <w:p w14:paraId="74D6B96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47" w:name="_Toc6125"/>
      <w:r>
        <w:rPr>
          <w:rFonts w:hint="eastAsia" w:ascii="方正仿宋_GBK" w:hAnsi="方正仿宋_GBK" w:eastAsia="方正仿宋_GBK" w:cs="方正仿宋_GBK"/>
          <w:bCs/>
          <w:sz w:val="28"/>
          <w:szCs w:val="28"/>
        </w:rPr>
        <w:t>5、包装、标记、运输和交付</w:t>
      </w:r>
      <w:bookmarkEnd w:id="647"/>
    </w:p>
    <w:p w14:paraId="06E9BC9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48" w:name="_Toc1025"/>
      <w:r>
        <w:rPr>
          <w:rFonts w:hint="eastAsia" w:ascii="方正仿宋_GBK" w:hAnsi="方正仿宋_GBK" w:eastAsia="方正仿宋_GBK" w:cs="方正仿宋_GBK"/>
          <w:bCs/>
          <w:sz w:val="28"/>
          <w:szCs w:val="28"/>
        </w:rPr>
        <w:t>5.1包装</w:t>
      </w:r>
      <w:bookmarkEnd w:id="648"/>
    </w:p>
    <w:p w14:paraId="7F5842D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5.1.1卖方应对合同设备进行妥善包装，以满足合同设备运至施工场地及在施工场地保管的需要。包装应采取防潮、防晒、防锈、防腐蚀、防震动及防止其它损坏的必要保护措施，从而保护合同设备能够经受多次搬运、装卸、长途运输并适宜保管。</w:t>
      </w:r>
    </w:p>
    <w:p w14:paraId="39B79D3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5.1.2每个独立包装箱内应附装箱清单、质量合格证、装配图、说明书、操作指南等资料。</w:t>
      </w:r>
    </w:p>
    <w:p w14:paraId="456D7AB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5.1.3除专用合同条款另有约定外，买方无需将包装物退还给卖方。</w:t>
      </w:r>
    </w:p>
    <w:p w14:paraId="19994F8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49" w:name="_Toc6265"/>
      <w:r>
        <w:rPr>
          <w:rFonts w:hint="eastAsia" w:ascii="方正仿宋_GBK" w:hAnsi="方正仿宋_GBK" w:eastAsia="方正仿宋_GBK" w:cs="方正仿宋_GBK"/>
          <w:bCs/>
          <w:sz w:val="28"/>
          <w:szCs w:val="28"/>
        </w:rPr>
        <w:t>5.2标记</w:t>
      </w:r>
      <w:bookmarkEnd w:id="649"/>
    </w:p>
    <w:p w14:paraId="37E8F69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5.2.1除专用合同条款另有约定外，卖方应在每一包装箱相邻的四个侧面以不可擦除的、明显的方式标记必要的装运信息和标记，以满足合同设备运输和保管的需要。</w:t>
      </w:r>
    </w:p>
    <w:p w14:paraId="07F0615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5.2.2根据合同设备的特点和运输、保管的不同要求，卖方应在包装箱上清楚地标注“小心轻放”、“此端朝上，请勿倒置”、“保持干燥”等字样和其他适当标记。对于专用合同条款约定的超大超重件，卖方应在包装箱两侧标注“重心”和“起吊点”以便装卸和搬运。如果发运合同设备中含有易燃易爆物品、腐蚀物品、放射性物质等危险品，则应在包装箱上标明危险品标志。</w:t>
      </w:r>
    </w:p>
    <w:p w14:paraId="2EB85CA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50" w:name="_Toc22498"/>
      <w:r>
        <w:rPr>
          <w:rFonts w:hint="eastAsia" w:ascii="方正仿宋_GBK" w:hAnsi="方正仿宋_GBK" w:eastAsia="方正仿宋_GBK" w:cs="方正仿宋_GBK"/>
          <w:bCs/>
          <w:sz w:val="28"/>
          <w:szCs w:val="28"/>
        </w:rPr>
        <w:t>5.3运输</w:t>
      </w:r>
      <w:bookmarkEnd w:id="650"/>
    </w:p>
    <w:p w14:paraId="68F81E6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5.3.1卖方应自行选择适宜的运输工具及线路安排合同设备运输。</w:t>
      </w:r>
    </w:p>
    <w:p w14:paraId="3D9F61A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5.3.2除专用合同条款另有约定外，每件能够独立运行的设备应整套装运。该设备安装、调试、考核和运行所使用的备品、备件、易损易耗件等应随相关的主机一齐装运。</w:t>
      </w:r>
    </w:p>
    <w:p w14:paraId="0731EE2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5.3.3除专用合同条款另有约定外，卖方应在合同设备预计启运 7 日前，将合同设备名称、数量、箱数、总毛重、总体积（用  m3  表示）、每箱尺寸（长×宽×高）、装运合同设备总金额、运输方式、预计交付日期和合同设备在运输、装卸、保管中的注意事项等预通知买方，并在合同设备启运后 24 小时之内正式通知买方。</w:t>
      </w:r>
    </w:p>
    <w:p w14:paraId="72BFD2E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5.3.4卖方在根据第 5.3.3 项进行通知时，如果发运合同设备中包括专用合同条款约定的超大超重包装，则卖方应将超大和（或）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bookmarkStart w:id="651" w:name="57"/>
      <w:bookmarkEnd w:id="651"/>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1" name="任意多边形 18"/>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682F3D08"/>
                        </w:txbxContent>
                      </wps:txbx>
                      <wps:bodyPr upright="1"/>
                    </wps:wsp>
                  </a:graphicData>
                </a:graphic>
              </wp:anchor>
            </w:drawing>
          </mc:Choice>
          <mc:Fallback>
            <w:pict>
              <v:shape id="任意多边形 18"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YfGdgA&#10;AAAHAQAADwAAAAAAAAABACAAAAAiAAAAZHJzL2Rvd25yZXYueG1sUEsBAhQAFAAAAAgAh07iQIAa&#10;tSXmAQAAvwMAAA4AAAAAAAAAAQAgAAAAJwEAAGRycy9lMm9Eb2MueG1sUEsFBgAAAAAGAAYAWQEA&#10;AH8FAAAAAA==&#10;" path="xe">
                <v:path textboxrect="0,0,21600,21600"/>
                <v:fill on="f" focussize="0,0"/>
                <v:stroke on="f"/>
                <v:imagedata o:title=""/>
                <o:lock v:ext="edit" aspectratio="f"/>
                <v:textbox>
                  <w:txbxContent>
                    <w:p w14:paraId="682F3D08"/>
                  </w:txbxContent>
                </v:textbox>
              </v:shape>
            </w:pict>
          </mc:Fallback>
        </mc:AlternateContent>
      </w:r>
    </w:p>
    <w:p w14:paraId="25A3A5F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52" w:name="_Toc20068"/>
      <w:r>
        <w:rPr>
          <w:rFonts w:hint="eastAsia" w:ascii="方正仿宋_GBK" w:hAnsi="方正仿宋_GBK" w:eastAsia="方正仿宋_GBK" w:cs="方正仿宋_GBK"/>
          <w:bCs/>
          <w:sz w:val="28"/>
          <w:szCs w:val="28"/>
        </w:rPr>
        <w:t>5.4交付</w:t>
      </w:r>
      <w:bookmarkEnd w:id="652"/>
    </w:p>
    <w:p w14:paraId="3F3866F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5.4.1除专用合同条款另有约定外，卖方应根据合同约定的交付时间和批次在施工场地车面上将合同设备交付给买方。买方对卖方交付的包装的合同设备的外观及件数进行清点核验后应签发收货清单，并自负风险和费用进行卸货。买方签发收货清单不代表对合同设备的接受，双方还应按合同约定进行后续的检验和验收。</w:t>
      </w:r>
    </w:p>
    <w:p w14:paraId="3AF8B56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5.4.2合同设备的所有权和风险自交付时起由卖方转移至买方，合同设备交付给买方之前包括运输在内的所有风险均由卖方承担。</w:t>
      </w:r>
    </w:p>
    <w:p w14:paraId="649793F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5.4.3除专用合同条款另有约定外，买方如果发现技术资料存在短缺和（或）损坏，卖方应在收到买方的通知后 7 日内免费补齐短缺和（或）损坏的部分。如果买方发现卖方提供的技术资料有误，卖方应在收到买方通知后 7 日内免费替换。如由于买方原因导致技术资料丢失和（或）损坏，卖方应在收到买方的通知后 7 日内补齐丢失和（或）损坏的部分，但买方应向卖方支付合理的复制、邮寄费用。</w:t>
      </w:r>
    </w:p>
    <w:p w14:paraId="71212D1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53" w:name="_Toc2840"/>
      <w:r>
        <w:rPr>
          <w:rFonts w:hint="eastAsia" w:ascii="方正仿宋_GBK" w:hAnsi="方正仿宋_GBK" w:eastAsia="方正仿宋_GBK" w:cs="方正仿宋_GBK"/>
          <w:bCs/>
          <w:sz w:val="28"/>
          <w:szCs w:val="28"/>
        </w:rPr>
        <w:t>6、开箱检验、安装、调试、考核、验收</w:t>
      </w:r>
      <w:bookmarkEnd w:id="653"/>
    </w:p>
    <w:p w14:paraId="7BB0986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54" w:name="_Toc30977"/>
      <w:r>
        <w:rPr>
          <w:rFonts w:hint="eastAsia" w:ascii="方正仿宋_GBK" w:hAnsi="方正仿宋_GBK" w:eastAsia="方正仿宋_GBK" w:cs="方正仿宋_GBK"/>
          <w:bCs/>
          <w:sz w:val="28"/>
          <w:szCs w:val="28"/>
        </w:rPr>
        <w:t>6.1开箱检验</w:t>
      </w:r>
      <w:bookmarkEnd w:id="654"/>
    </w:p>
    <w:p w14:paraId="535E8D6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6.1.1合同设备交付后应进行开箱检验，即合同设备数量及外观检验。开箱检验在专用合同条款约定的下列任一种时间进行：</w:t>
      </w:r>
    </w:p>
    <w:p w14:paraId="61A725B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（1）合同设备交付时；</w:t>
      </w:r>
    </w:p>
    <w:p w14:paraId="08C0004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（2）合同设备交付后的一定期限内。</w:t>
      </w:r>
    </w:p>
    <w:p w14:paraId="44752C3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如开箱检验不在合同设备交付时进行，买方应在开箱检验 3 日前将开箱检验的时间和地点通知卖方。</w:t>
      </w:r>
    </w:p>
    <w:p w14:paraId="12CB310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6.1.2除专用合同条款另有约定外，合同设备的开箱检验应在施工场地进行。</w:t>
      </w:r>
    </w:p>
    <w:p w14:paraId="063F9D3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6.1.3开箱检验由买卖双方共同进行，卖方应自负费用派遣代表到场参加开箱检验。</w:t>
      </w:r>
    </w:p>
    <w:p w14:paraId="176FA3D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6.1.4在开箱检验中，买方和卖方应共同签署数量、外观检验报告，报告应列明检验结果，包括检验合格或发现的任何短缺、损坏或其它与合同约定不符的情形。</w:t>
      </w:r>
    </w:p>
    <w:p w14:paraId="6F86DB8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6.1.5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14:paraId="02B487B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6.1.6如开箱检验不在合同设备交付时进行，则合同设备交付以后到开箱检验之前，应由买</w:t>
      </w:r>
      <w:bookmarkStart w:id="655" w:name="58"/>
      <w:bookmarkEnd w:id="655"/>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2" name="任意多边形 19"/>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6CB7314F"/>
                        </w:txbxContent>
                      </wps:txbx>
                      <wps:bodyPr upright="1"/>
                    </wps:wsp>
                  </a:graphicData>
                </a:graphic>
              </wp:anchor>
            </w:drawing>
          </mc:Choice>
          <mc:Fallback>
            <w:pict>
              <v:shape id="任意多边形 19"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YfGdgA&#10;AAAHAQAADwAAAAAAAAABACAAAAAiAAAAZHJzL2Rvd25yZXYueG1sUEsBAhQAFAAAAAgAh07iQMpQ&#10;wtLmAQAAvwMAAA4AAAAAAAAAAQAgAAAAJwEAAGRycy9lMm9Eb2MueG1sUEsFBgAAAAAGAAYAWQEA&#10;AH8FAAAAAA==&#10;" path="xe">
                <v:path textboxrect="0,0,21600,21600"/>
                <v:fill on="f" focussize="0,0"/>
                <v:stroke on="f"/>
                <v:imagedata o:title=""/>
                <o:lock v:ext="edit" aspectratio="f"/>
                <v:textbox>
                  <w:txbxContent>
                    <w:p w14:paraId="6CB7314F"/>
                  </w:txbxContent>
                </v:textbox>
              </v:shape>
            </w:pict>
          </mc:Fallback>
        </mc:AlternateContent>
      </w:r>
      <w:r>
        <w:rPr>
          <w:rFonts w:hint="eastAsia" w:ascii="方正仿宋_GBK" w:hAnsi="方正仿宋_GBK" w:eastAsia="方正仿宋_GBK" w:cs="方正仿宋_GBK"/>
          <w:bCs/>
          <w:sz w:val="28"/>
          <w:szCs w:val="28"/>
        </w:rPr>
        <w:t>方负责按交货时外包装原样对合同设备进行妥善保管。除专用合同条款另有约定外，在开箱检验时如果合同设备外包装与交货时一致，则开箱检验中发现的合同设备的短缺、损坏或其它与合同约定不符的情形，由卖方负责，卖方应补齐、更换及采取其他补救措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14:paraId="14B4606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6.1.7如双方在专用合同条款和（或）供货要求等合同文件中约定由第三方检测机构对合同设备进行开箱检验或在开箱检验过程中另行约定由第三方检验的，则第三方检测机构的检验结果对双方均具有约束力。</w:t>
      </w:r>
    </w:p>
    <w:p w14:paraId="1A2E8CA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6.1.8开箱检验的检验结果不能对抗在合同设备的安装、调试、考核、验收中及质量保证期内发现的合同设备质量问题，也不能免除或影响卖方依照合同约定对买方负有的包括合同设备质量在内的任何义务或责任。</w:t>
      </w:r>
    </w:p>
    <w:p w14:paraId="44BF883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56" w:name="_Toc29993"/>
      <w:r>
        <w:rPr>
          <w:rFonts w:hint="eastAsia" w:ascii="方正仿宋_GBK" w:hAnsi="方正仿宋_GBK" w:eastAsia="方正仿宋_GBK" w:cs="方正仿宋_GBK"/>
          <w:bCs/>
          <w:sz w:val="28"/>
          <w:szCs w:val="28"/>
        </w:rPr>
        <w:t>6.2安装、调试</w:t>
      </w:r>
      <w:bookmarkEnd w:id="656"/>
    </w:p>
    <w:p w14:paraId="5804B22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6.2.1开箱检验完成后，双方应对合同设备进行安装、调试，以使其具备考核的状态。安装、调试应按照专用合同条款约定的下列任一种方式进行：</w:t>
      </w:r>
    </w:p>
    <w:p w14:paraId="7267EC0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（1）卖方按照合同约定完成合同设备的安装、调试工作；</w:t>
      </w:r>
    </w:p>
    <w:p w14:paraId="722A9C3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（2）买方或买方安排第三方负责合同设备的安装、调试工作，卖方提供技术服务。</w:t>
      </w:r>
    </w:p>
    <w:p w14:paraId="7B64334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除专用合同条款另有约定外，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14:paraId="1612409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6.2.2除专用合同条款另有约定外，安装、调试中合同设备运行需要的用水、用电、其他动力和原材料（如需要）等均由买方承担。</w:t>
      </w:r>
    </w:p>
    <w:p w14:paraId="0DD0F97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6.2.3双方应对合同设备的安装、调试情况共同及时进行记录。</w:t>
      </w:r>
    </w:p>
    <w:p w14:paraId="19B53D8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57" w:name="_Toc22836"/>
      <w:r>
        <w:rPr>
          <w:rFonts w:hint="eastAsia" w:ascii="方正仿宋_GBK" w:hAnsi="方正仿宋_GBK" w:eastAsia="方正仿宋_GBK" w:cs="方正仿宋_GBK"/>
          <w:bCs/>
          <w:sz w:val="28"/>
          <w:szCs w:val="28"/>
        </w:rPr>
        <w:t>6.3考核</w:t>
      </w:r>
      <w:bookmarkEnd w:id="657"/>
    </w:p>
    <w:p w14:paraId="3E46A77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6.3.1安装、调试完成后，双方应对合同设备进行考核，以确定合同设备是否达到合同约定的技术性能考核指标。除专用合同条款另有约定外，考核中合同设备运行需要的用水、用电、其他动力和原材料（如需要）等均由买方承担。</w:t>
      </w:r>
      <w:bookmarkStart w:id="658" w:name="59"/>
      <w:bookmarkEnd w:id="658"/>
    </w:p>
    <w:p w14:paraId="3FE623D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3" name="任意多边形 20"/>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24E3816B"/>
                        </w:txbxContent>
                      </wps:txbx>
                      <wps:bodyPr upright="1"/>
                    </wps:wsp>
                  </a:graphicData>
                </a:graphic>
              </wp:anchor>
            </w:drawing>
          </mc:Choice>
          <mc:Fallback>
            <w:pict>
              <v:shape id="任意多边形 20"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RZh8Z2AAA&#10;AAcBAAAPAAAAAAAAAAEAIAAAACIAAABkcnMvZG93bnJldi54bWxQSwECFAAUAAAACACHTuJAtvdk&#10;OuUBAAC/AwAADgAAAAAAAAABACAAAAAnAQAAZHJzL2Uyb0RvYy54bWxQSwUGAAAAAAYABgBZAQAA&#10;fgUAAAAA&#10;" path="xe">
                <v:path textboxrect="0,0,21600,21600"/>
                <v:fill on="f" focussize="0,0"/>
                <v:stroke on="f"/>
                <v:imagedata o:title=""/>
                <o:lock v:ext="edit" aspectratio="f"/>
                <v:textbox>
                  <w:txbxContent>
                    <w:p w14:paraId="24E3816B"/>
                  </w:txbxContent>
                </v:textbox>
              </v:shape>
            </w:pict>
          </mc:Fallback>
        </mc:AlternateContent>
      </w:r>
      <w:r>
        <w:rPr>
          <w:rFonts w:hint="eastAsia" w:ascii="方正仿宋_GBK" w:hAnsi="方正仿宋_GBK" w:eastAsia="方正仿宋_GBK" w:cs="方正仿宋_GBK"/>
          <w:bCs/>
          <w:sz w:val="28"/>
          <w:szCs w:val="28"/>
        </w:rPr>
        <w:t>6.3.2如由于卖方原因合同设备在考核中未能达到合同约定的技术性能考核指标，则卖方应在双方同意的期限内采取措施消除合同设备中存在的缺陷，并在缺陷消除以后，尽快进行再次考核。</w:t>
      </w:r>
    </w:p>
    <w:p w14:paraId="200AD69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6.3.3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专用合同条款的约定进行减价或向买方支付补偿金。</w:t>
      </w:r>
    </w:p>
    <w:p w14:paraId="5AEFF28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6.3.4如由于买方原因合同设备在考核中未能达到合同约定的技术性能考核指标，则卖方应协助买方安排再次考核。由于买方原因未能达到技术性能考核指标时，为买方进行考核的机会不超过三次。</w:t>
      </w:r>
    </w:p>
    <w:p w14:paraId="7CC618D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6.3.5考核期间，双方应及时共同记录合同设备的用水、用电、其他动力和原材料（如有）的使用及设备考核情况。对于未达到技术性能考核指标的，应如实记录设备表现、可能原因及处理情况等。</w:t>
      </w:r>
    </w:p>
    <w:p w14:paraId="1F5C72E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59" w:name="_Toc25855"/>
      <w:r>
        <w:rPr>
          <w:rFonts w:hint="eastAsia" w:ascii="方正仿宋_GBK" w:hAnsi="方正仿宋_GBK" w:eastAsia="方正仿宋_GBK" w:cs="方正仿宋_GBK"/>
          <w:bCs/>
          <w:sz w:val="28"/>
          <w:szCs w:val="28"/>
        </w:rPr>
        <w:t>6.4验收</w:t>
      </w:r>
      <w:bookmarkEnd w:id="659"/>
    </w:p>
    <w:p w14:paraId="0BA15A7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6.4.1如合同设备在考核中达到或视为达到技术性能考核指标，则买卖双方应在考核完成后7日内或专用合同条款另行约定的时间内签署合同设备验收证书一式二份，双方各持一份。验收日期应为合同设备达到或视为达到技术性能考核指标的日期。</w:t>
      </w:r>
    </w:p>
    <w:p w14:paraId="2979487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6.4.2如由于买方原因合同设备在三次考核中均未能达到技术性能考核指标，买卖双方应在考核结束后7日内或专用合同条款另行约定的时间内签署验收款支付函。</w:t>
      </w:r>
    </w:p>
    <w:p w14:paraId="5C766C0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除专用合同条款另有约定外，卖方有义务在验收款支付函签署后 12 个月内应买方要求提供相关技术服务，协助买方采取一切必要措施使合同设备达到技术性能考核指标。买方应承担卖方因此产生的全部费用。在上述 12 个月的期限内，如合同设备经过考核达到或视为达到技术性能考核指标，则买卖双方应按照第 6.4.1 项的约定签署合同设备验收证书。</w:t>
      </w:r>
    </w:p>
    <w:p w14:paraId="25E0886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6.4.3除专用合同条款另有约定外，如由于买方原因在最后一批合同设备交货后6个月内未能开始考核，则买卖双方应在上述期限届满后7日内或专用合同条款另行约定的时间内签署验收款支付函。除专用合同条款另有约定外，卖方有义务在验收款支付函签署后6个月内应买方要求提供</w:t>
      </w:r>
      <w:bookmarkStart w:id="660" w:name="60"/>
      <w:bookmarkEnd w:id="660"/>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4" name="任意多边形 21"/>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1AD86290"/>
                        </w:txbxContent>
                      </wps:txbx>
                      <wps:bodyPr upright="1"/>
                    </wps:wsp>
                  </a:graphicData>
                </a:graphic>
              </wp:anchor>
            </w:drawing>
          </mc:Choice>
          <mc:Fallback>
            <w:pict>
              <v:shape id="任意多边形 21"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YfGdgA&#10;AAAHAQAADwAAAAAAAAABACAAAAAiAAAAZHJzL2Rvd25yZXYueG1sUEsBAhQAFAAAAAgAh07iQCnv&#10;ZODmAQAAvwMAAA4AAAAAAAAAAQAgAAAAJwEAAGRycy9lMm9Eb2MueG1sUEsFBgAAAAAGAAYAWQEA&#10;AH8FAAAAAA==&#10;" path="xe">
                <v:path textboxrect="0,0,21600,21600"/>
                <v:fill on="f" focussize="0,0"/>
                <v:stroke on="f"/>
                <v:imagedata o:title=""/>
                <o:lock v:ext="edit" aspectratio="f"/>
                <v:textbox>
                  <w:txbxContent>
                    <w:p w14:paraId="1AD86290"/>
                  </w:txbxContent>
                </v:textbox>
              </v:shape>
            </w:pict>
          </mc:Fallback>
        </mc:AlternateContent>
      </w:r>
      <w:r>
        <w:rPr>
          <w:rFonts w:hint="eastAsia" w:ascii="方正仿宋_GBK" w:hAnsi="方正仿宋_GBK" w:eastAsia="方正仿宋_GBK" w:cs="方正仿宋_GBK"/>
          <w:bCs/>
          <w:sz w:val="28"/>
          <w:szCs w:val="28"/>
        </w:rPr>
        <w:t>不超出合同范围的技术服务，协助买方采取一切必要措施使合同设备达到技术性能考核指标，且买方无需因此向卖方支付费用。在上述6个月的期限内，如合同设备经过考核达到或视为达到技术性能考核指标，则买卖双方应按照第6.4.1项的约定签署合同设备验收证书。</w:t>
      </w:r>
    </w:p>
    <w:p w14:paraId="5E0F4D2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6.4.4在第 6.4.2 项和第 6.4.3 项情形下，卖方也可单方签署验收款支付函提交买方，如果买方在收到卖方签署的验收款支付函后 14 日内未向卖方提出书面异议，则验收款支付函自签署之日起生效。</w:t>
      </w:r>
    </w:p>
    <w:p w14:paraId="1DF1582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6.4.5合同设备验收证书的签署不能免除卖方在质量保证期内对合同设备应承担的保证责任。</w:t>
      </w:r>
    </w:p>
    <w:p w14:paraId="3C65639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61" w:name="_Toc5517"/>
      <w:r>
        <w:rPr>
          <w:rFonts w:hint="eastAsia" w:ascii="方正仿宋_GBK" w:hAnsi="方正仿宋_GBK" w:eastAsia="方正仿宋_GBK" w:cs="方正仿宋_GBK"/>
          <w:bCs/>
          <w:sz w:val="28"/>
          <w:szCs w:val="28"/>
        </w:rPr>
        <w:t>7、技术服务</w:t>
      </w:r>
      <w:bookmarkEnd w:id="661"/>
    </w:p>
    <w:p w14:paraId="2E3D9AA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7.1卖方应派遣技术熟练、称职的技术人员到施工场地为买方提供技术服务。卖方的技术服务应符合合同的约定。</w:t>
      </w:r>
    </w:p>
    <w:p w14:paraId="09FCBE4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7.2买方应免费为卖方技术人员提供工作条件及便利，包括但不限于必要的办公场所、技术资料及出入许可等。除专用合同条款另有约定外，卖方技术人员的交通、食宿费用由卖方承担。</w:t>
      </w:r>
    </w:p>
    <w:p w14:paraId="0F23A41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7.3卖方技术人员应遵守买方施工现场的各项规章制度和安全操作规程，并服从买方的现场管理。</w:t>
      </w:r>
    </w:p>
    <w:p w14:paraId="5894315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7.4如果任何技术人员不合格，买方有权要求卖方撤换，因撤换而产生的费用应由卖方承担。在不影响技术服务并且征得买方同意的条件下，卖方也可自负费用更换其技术人员。</w:t>
      </w:r>
    </w:p>
    <w:p w14:paraId="42EE6D4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62" w:name="_Toc21767"/>
      <w:r>
        <w:rPr>
          <w:rFonts w:hint="eastAsia" w:ascii="方正仿宋_GBK" w:hAnsi="方正仿宋_GBK" w:eastAsia="方正仿宋_GBK" w:cs="方正仿宋_GBK"/>
          <w:bCs/>
          <w:sz w:val="28"/>
          <w:szCs w:val="28"/>
        </w:rPr>
        <w:t>8、质量保证期</w:t>
      </w:r>
      <w:bookmarkEnd w:id="662"/>
    </w:p>
    <w:p w14:paraId="312D2C6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8.1除专用合同条款和（或）供货要求等合同文件另有约定外，合同设备整体质量保证期为验收之日起 12 个月。如对合同设备中关键部件的质量保证期有特殊要求的，买卖双方可在专用合同条款中约定。在合同第6.4.2项情形下，无论合同设备何时验收，其质量保证期最长为签署验收款支付函后12个月。在合同第 6.4.3 项情形下，无论合同设备何时验收，其质量保证期最长为签署验收款支付函后 6 个月。</w:t>
      </w:r>
    </w:p>
    <w:p w14:paraId="12ADA6E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8.2在质量保证期内如果合同设备出现故障，卖方应自负费用提供质保期服务，对相关合同设备进行修理或更换以消除故障。更换的合同设备和（或）关键部件的质量保证期应重新计算。但如果合同设备的故障是由于买方原因造成的，则对合同设备进行修理和更换的费用应由买方承担。</w:t>
      </w:r>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5" name="任意多边形 22"/>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50CFCDA6"/>
                        </w:txbxContent>
                      </wps:txbx>
                      <wps:bodyPr upright="1"/>
                    </wps:wsp>
                  </a:graphicData>
                </a:graphic>
              </wp:anchor>
            </w:drawing>
          </mc:Choice>
          <mc:Fallback>
            <w:pict>
              <v:shape id="任意多边形 22"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YfGdgA&#10;AAAHAQAADwAAAAAAAAABACAAAAAiAAAAZHJzL2Rvd25yZXYueG1sUEsBAhQAFAAAAAgAh07iQGNl&#10;+w/mAQAAvwMAAA4AAAAAAAAAAQAgAAAAJwEAAGRycy9lMm9Eb2MueG1sUEsFBgAAAAAGAAYAWQEA&#10;AH8FAAAAAA==&#10;" path="xe">
                <v:path textboxrect="0,0,21600,21600"/>
                <v:fill on="f" focussize="0,0"/>
                <v:stroke on="f"/>
                <v:imagedata o:title=""/>
                <o:lock v:ext="edit" aspectratio="f"/>
                <v:textbox>
                  <w:txbxContent>
                    <w:p w14:paraId="50CFCDA6"/>
                  </w:txbxContent>
                </v:textbox>
              </v:shape>
            </w:pict>
          </mc:Fallback>
        </mc:AlternateContent>
      </w:r>
    </w:p>
    <w:p w14:paraId="0D0EFBD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8.3质量保证期届满后，买方应在7日内或专用合同条款另行约定的时间内向卖方出具合同设备的质量保证期届满证书。</w:t>
      </w:r>
    </w:p>
    <w:p w14:paraId="4E01C83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8.4在合同第6.4.2项情形下，如在验收款支付函签署后12个月内由于买方原因合同设备仍未能达到技术性能考核指标，则买卖双方应在该12个月届满后7日内或专用合同条款另行约定的时间内签署结清款支付函。</w:t>
      </w:r>
    </w:p>
    <w:p w14:paraId="6234550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8.5在合同第6.4.3项情形下，如在验收款支付函签署后6个月内由于买方原因合同设备仍未进行考核或仍未达到技术性能考核指标，则买卖双方应在该6个月届满后7日内或专用合同条款另行约定的时间内签署结清款支付函。</w:t>
      </w:r>
    </w:p>
    <w:p w14:paraId="66EDECA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8.6在第8.4款和第8.5款情形下，卖方也可单方签署结清款支付函提交买方，如果买方在收到卖方签署的结清款支付函后14日内未向卖方提出书面异议，则结清款支付函自签署之日起生效。</w:t>
      </w:r>
    </w:p>
    <w:p w14:paraId="6285AC5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63" w:name="_Toc31834"/>
      <w:r>
        <w:rPr>
          <w:rFonts w:hint="eastAsia" w:ascii="方正仿宋_GBK" w:hAnsi="方正仿宋_GBK" w:eastAsia="方正仿宋_GBK" w:cs="方正仿宋_GBK"/>
          <w:bCs/>
          <w:sz w:val="28"/>
          <w:szCs w:val="28"/>
        </w:rPr>
        <w:t>9、质保期服务</w:t>
      </w:r>
      <w:bookmarkEnd w:id="663"/>
    </w:p>
    <w:p w14:paraId="004C848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9.1卖方应为质保期服务配备充足的技术人员、工具和备件并保证提供的联系方式畅通。除专用合同条款和（或）供货要求等合同文件另有约定外，卖方应在收到买方通知后24小时内做出响应，如需卖方到合同设备现场，卖方应在收到买方通知后 48 小时内到达，并在到达后 7日内解决合同设备的故障（重大故障除外）。如果卖方未在上述时间内作出响应，则买方有权自行或委托他人解决相关问题或查找和解决合同设备的故障，卖方应承担由此发生的全部费用。</w:t>
      </w:r>
    </w:p>
    <w:p w14:paraId="7AB7BDF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9.2如卖方技术人员需到合同设备现场进行质保期服务，则买方应免费为卖方技术人员提供工作条件及便利，包括但不限于必要的办公场所、技术资料及出入许可等。除专用合同条款另有约定外，卖方技术人员的交通、食宿费用由卖方承担。卖方技术人员应遵守买方施工现场的各项规章制度和安全操作规程，并服从买方的现场管理。</w:t>
      </w:r>
    </w:p>
    <w:p w14:paraId="0580A3B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9.3如果任何技术人员不合格，买方有权要求卖方撤换，因撤换而产生的费用应由卖方承担。在不影响质保期服务并且征得买方同意的条件下，卖方也可自负费用更换其技术人员。</w:t>
      </w:r>
    </w:p>
    <w:p w14:paraId="159E117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9.4除专用合同条款另有约定外，卖方应就在施工现场进行质保期服务的情况进行记录，记载合同设备故障发生的时间、原因及解决情况等，由买方签字确认，并在质量保证期结束后提交给买方。</w:t>
      </w:r>
    </w:p>
    <w:p w14:paraId="165EC11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64" w:name="_Toc2442"/>
      <w:r>
        <w:rPr>
          <w:rFonts w:hint="eastAsia" w:ascii="方正仿宋_GBK" w:hAnsi="方正仿宋_GBK" w:eastAsia="方正仿宋_GBK" w:cs="方正仿宋_GBK"/>
          <w:bCs/>
          <w:sz w:val="28"/>
          <w:szCs w:val="28"/>
        </w:rPr>
        <w:t>10、履约保证金</w:t>
      </w:r>
      <w:bookmarkEnd w:id="664"/>
    </w:p>
    <w:p w14:paraId="70563EF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除专用合同条款另有约定外，履约保证金自合同生效之日起生效，在合同设备验收证书或</w:t>
      </w:r>
      <w:bookmarkStart w:id="665" w:name="62"/>
      <w:bookmarkEnd w:id="665"/>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6" name="任意多边形 23"/>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txbx>
                        <w:txbxContent>
                          <w:p w14:paraId="4BE637CC"/>
                        </w:txbxContent>
                      </wps:txbx>
                      <wps:bodyPr upright="1"/>
                    </wps:wsp>
                  </a:graphicData>
                </a:graphic>
              </wp:anchor>
            </w:drawing>
          </mc:Choice>
          <mc:Fallback>
            <w:pict>
              <v:shape id="任意多边形 23"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YfGdgA&#10;AAAHAQAADwAAAAAAAAABACAAAAAiAAAAZHJzL2Rvd25yZXYueG1sUEsBAhQAFAAAAAgAh07iQCkv&#10;jPjmAQAAvwMAAA4AAAAAAAAAAQAgAAAAJwEAAGRycy9lMm9Eb2MueG1sUEsFBgAAAAAGAAYAWQEA&#10;AH8FAAAAAA==&#10;" path="xe">
                <v:path textboxrect="0,0,21600,21600"/>
                <v:fill on="f" focussize="0,0"/>
                <v:stroke on="f"/>
                <v:imagedata o:title=""/>
                <o:lock v:ext="edit" aspectratio="f"/>
                <v:textbox>
                  <w:txbxContent>
                    <w:p w14:paraId="4BE637CC"/>
                  </w:txbxContent>
                </v:textbox>
              </v:shape>
            </w:pict>
          </mc:Fallback>
        </mc:AlternateContent>
      </w:r>
      <w:r>
        <w:rPr>
          <w:rFonts w:hint="eastAsia" w:ascii="方正仿宋_GBK" w:hAnsi="方正仿宋_GBK" w:eastAsia="方正仿宋_GBK" w:cs="方正仿宋_GBK"/>
          <w:bCs/>
          <w:sz w:val="28"/>
          <w:szCs w:val="28"/>
        </w:rPr>
        <w:t>验收款支付函签署之日起 28 日后失效。如果卖方不履行合同约定的义务或其履行不符合合同的约定，买方有权扣划相应金额的履约保证金。</w:t>
      </w:r>
    </w:p>
    <w:p w14:paraId="1874011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66" w:name="_Toc31535"/>
      <w:r>
        <w:rPr>
          <w:rFonts w:hint="eastAsia" w:ascii="方正仿宋_GBK" w:hAnsi="方正仿宋_GBK" w:eastAsia="方正仿宋_GBK" w:cs="方正仿宋_GBK"/>
          <w:bCs/>
          <w:sz w:val="28"/>
          <w:szCs w:val="28"/>
        </w:rPr>
        <w:t>11、保证</w:t>
      </w:r>
      <w:bookmarkEnd w:id="666"/>
    </w:p>
    <w:p w14:paraId="5BF4038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11.1卖方保证其具有完全的能力履行本合同项下的全部义务。</w:t>
      </w:r>
    </w:p>
    <w:p w14:paraId="5BB0976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11.2卖方保证其所提供的合同设备及对合同的履行符合所有应适用的法律、行政法规、地方性法规、自治条例和单行条例、规章及其他规范性文件的强制性规定。</w:t>
      </w:r>
    </w:p>
    <w:p w14:paraId="1A72A50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11.3卖方保证其对合同设备的销售不损害任何第三方的合法权益和社会公众利益。任何第三方不会因卖方原因而基于所有权、抵押权、留置权或其他任何权利或事由对合同设备主张权利。</w:t>
      </w:r>
    </w:p>
    <w:p w14:paraId="13DCE0D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11.4卖方保证合同设备符合合同约定的规格、标准、技术性能考核指标等，能够安全和稳定地运行，且合同设备（包括全部部件）全新、完整、未使用过，除非专用合同条款和（或）供货要求等合同文件另有约定。</w:t>
      </w:r>
    </w:p>
    <w:p w14:paraId="332A9EB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11.5卖方保证，卖方所提供的技术资料完整、清晰、准确，符合合同约定并且能够满足合同设备的安装、调试、考核、操作以及维修和保养的需要。</w:t>
      </w:r>
    </w:p>
    <w:p w14:paraId="7EA9957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11.6卖方保证合同范围内提供的备品备件能够满足合同设备在质量保证期结束前正常运行及维修的需要，如在质量保证期结束前因卖方原因出现备品备件短缺影响合同设备正常运行的，卖方应免费提供。</w:t>
      </w:r>
    </w:p>
    <w:p w14:paraId="1C719E9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11.7除专用合同条款和（或）供货要求等合同文件另有约定外，如果在合同设备设计使用寿命期内发生合同项下备品备件停止生产的情况，卖方应事先将拟停止生产的计划通知买方，使买方有足够的时间考虑备品备件的需求量。根据买方要求，卖方应：</w:t>
      </w:r>
    </w:p>
    <w:p w14:paraId="2E86AD7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（1）以不高于同期市场价格或其向任何第三方销售同类产品的价格提供合同设备正常运行所需的全部备品备件。</w:t>
      </w:r>
    </w:p>
    <w:p w14:paraId="6F2210F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免费提供可供买方或第三方制造停产备品备件所需的全部技术资料，以便买方持续获得上述备品备件以满足合同设备在寿命期内正常运行的需要。卖方保证买方或买方委托的第三方制造及买方使用这些备品备件不侵犯任何人的知识产权。</w:t>
      </w:r>
    </w:p>
    <w:p w14:paraId="3AC1B45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11.8卖方保证，在合同设备设计使用寿命期内，如果卖方发现合同设备由于设计、制造、标识等原因存在足以危及人身、财产安全的缺陷，卖方将及时通知买方并及时采取修正或者补充标识、修理、更换等措施消除缺陷。</w:t>
      </w:r>
      <w:bookmarkStart w:id="667" w:name="63"/>
      <w:bookmarkEnd w:id="667"/>
    </w:p>
    <w:p w14:paraId="3A8FFB7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68" w:name="_Toc12944"/>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7" name="任意多边形 24"/>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bodyPr/>
                    </wps:wsp>
                  </a:graphicData>
                </a:graphic>
              </wp:anchor>
            </w:drawing>
          </mc:Choice>
          <mc:Fallback>
            <w:pict>
              <v:shape id="任意多边形 24"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DCj/u1gAAAAcBAAAPAAAAAAAAAAEA&#10;IAAAACIAAABkcnMvZG93bnJldi54bWxQSwECFAAUAAAACACHTuJA3XABxdgBAACoAwAADgAAAAAA&#10;AAABACAAAAAlAQAAZHJzL2Uyb0RvYy54bWxQSwUGAAAAAAYABgBZAQAAbwUAAAAA&#10;" path="xe">
                <v:fill on="f" focussize="0,0"/>
                <v:stroke on="f"/>
                <v:imagedata o:title=""/>
                <o:lock v:ext="edit" aspectratio="f"/>
              </v:shape>
            </w:pict>
          </mc:Fallback>
        </mc:AlternateContent>
      </w:r>
      <w:r>
        <w:rPr>
          <w:rFonts w:hint="eastAsia" w:ascii="方正仿宋_GBK" w:hAnsi="方正仿宋_GBK" w:eastAsia="方正仿宋_GBK" w:cs="方正仿宋_GBK"/>
          <w:bCs/>
          <w:sz w:val="28"/>
          <w:szCs w:val="28"/>
        </w:rPr>
        <w:t>12、知识产权</w:t>
      </w:r>
      <w:bookmarkEnd w:id="668"/>
    </w:p>
    <w:p w14:paraId="77E3FEB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12.1买方在履行合同过程中提供给卖方的全部图纸、文件和其他含有数据和信息的资料，其知识产权属于买方。</w:t>
      </w:r>
    </w:p>
    <w:p w14:paraId="1A00CC1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12.2除专用合同条款另有约定外，买方不因签署和履行合同而享有卖方在履行合同过程中提供给买方的图纸、文件、配套软件、电子辅助程序和其他含有数据和信息的资料的知识产权。</w:t>
      </w:r>
    </w:p>
    <w:p w14:paraId="0382FAF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12.3如合同设备涉及知识产权，则卖方保证买方在使用合同设备过程中免于受到第三方提出的有关知识产权侵权的主张、索赔或诉讼的伤害。</w:t>
      </w:r>
    </w:p>
    <w:p w14:paraId="2F130A2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12.4如果买方收到任何第三方有关知识产权的主张、索赔或诉讼，卖方在收到买方通知后，应以买方名义并在买方的协助下，自负费用处理与第三方的索赔或诉讼，并赔偿买方因此发生的费用和遭受的损失。除专用合同条款另有约定外，如果卖方拒绝处理前述索赔或诉讼或在收到买方通知后 28 日内未作表示，买方可以自己的名义进行这些索赔或诉讼，因此发生的费用和遭受的损失均应由卖方承担。</w:t>
      </w:r>
    </w:p>
    <w:p w14:paraId="6D1FC46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69" w:name="_Toc8110"/>
      <w:r>
        <w:rPr>
          <w:rFonts w:hint="eastAsia" w:ascii="方正仿宋_GBK" w:hAnsi="方正仿宋_GBK" w:eastAsia="方正仿宋_GBK" w:cs="方正仿宋_GBK"/>
          <w:bCs/>
          <w:sz w:val="28"/>
          <w:szCs w:val="28"/>
        </w:rPr>
        <w:t>13、保密</w:t>
      </w:r>
      <w:bookmarkEnd w:id="669"/>
    </w:p>
    <w:p w14:paraId="5D9379A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合同双方应对因履行合同而取得的另一方当事人的信息、资料等予以保密。未经另一方当事人书面同意，任何一方均不得为与履行合同无关的目的使用或向第三方披露另一方当事人提供的信息、资料。合同当事人的保密义务不适用于下列信息：</w:t>
      </w:r>
    </w:p>
    <w:p w14:paraId="3A4E5DC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（1）非因接受信息一方的过失现在或以后进入公共领域的信息；</w:t>
      </w:r>
    </w:p>
    <w:p w14:paraId="42F8190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（2）接受信息一方当事人合法地从第三方获得并且据其善意了解第三方也不对此承担保密义务的信息；</w:t>
      </w:r>
    </w:p>
    <w:p w14:paraId="43A746A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（3）法律或法律的执行要求披露的信息。</w:t>
      </w:r>
    </w:p>
    <w:p w14:paraId="329FCA7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70" w:name="_Toc13829"/>
      <w:r>
        <w:rPr>
          <w:rFonts w:hint="eastAsia" w:ascii="方正仿宋_GBK" w:hAnsi="方正仿宋_GBK" w:eastAsia="方正仿宋_GBK" w:cs="方正仿宋_GBK"/>
          <w:bCs/>
          <w:sz w:val="28"/>
          <w:szCs w:val="28"/>
        </w:rPr>
        <w:t>14、违约责任</w:t>
      </w:r>
      <w:bookmarkEnd w:id="670"/>
    </w:p>
    <w:p w14:paraId="4356F4E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14.1合同一方不履行合同义务、履行合同义务不符合约定或者违反合同项下所作保证的，应向对方承担继续履行、采取修理、更换、退货等补救措施或者赔偿损失等违约责任。</w:t>
      </w:r>
    </w:p>
    <w:p w14:paraId="0340201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14.2卖方未能按时交付合同设备（包括仅迟延交付技术资料但足以导致合同设备安装、调试、考核、验收工作推迟的）的，应向买方支付迟延交付违约金。除专用合同条款另有约定外，</w:t>
      </w:r>
      <w:bookmarkStart w:id="671" w:name="64"/>
      <w:bookmarkEnd w:id="671"/>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38" name="任意多边形 25"/>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bodyPr/>
                    </wps:wsp>
                  </a:graphicData>
                </a:graphic>
              </wp:anchor>
            </w:drawing>
          </mc:Choice>
          <mc:Fallback>
            <w:pict>
              <v:shape id="任意多边形 25"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DCj/u1gAAAAcBAAAPAAAAAAAAAAEA&#10;IAAAACIAAABkcnMvZG93bnJldi54bWxQSwECFAAUAAAACACHTuJA6u6y79gBAACoAwAADgAAAAAA&#10;AAABACAAAAAlAQAAZHJzL2Uyb0RvYy54bWxQSwUGAAAAAAYABgBZAQAAbwUAAAAA&#10;" path="xe">
                <v:fill on="f" focussize="0,0"/>
                <v:stroke on="f"/>
                <v:imagedata o:title=""/>
                <o:lock v:ext="edit" aspectratio="f"/>
              </v:shape>
            </w:pict>
          </mc:Fallback>
        </mc:AlternateContent>
      </w:r>
      <w:r>
        <w:rPr>
          <w:rFonts w:hint="eastAsia" w:ascii="方正仿宋_GBK" w:hAnsi="方正仿宋_GBK" w:eastAsia="方正仿宋_GBK" w:cs="方正仿宋_GBK"/>
          <w:bCs/>
          <w:sz w:val="28"/>
          <w:szCs w:val="28"/>
        </w:rPr>
        <w:t>迟延交付违约金的计算方法如下：</w:t>
      </w:r>
    </w:p>
    <w:p w14:paraId="5251922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（1）从迟交的第一周到第四周，每周迟延交付违约金为迟交合同设备价格的 0.5%；</w:t>
      </w:r>
    </w:p>
    <w:p w14:paraId="612B090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（2）从迟交的第五周到第八周，每周迟延交付违约金为迟交合同设备价格的 1%；</w:t>
      </w:r>
    </w:p>
    <w:p w14:paraId="11A46B6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（3）从迟交第九周起，每周迟延交付违约金为迟交合同设备价格的 1.5%。</w:t>
      </w:r>
    </w:p>
    <w:p w14:paraId="74B5C29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在计算迟延交付违约金时，迟交不足一周的按一周计算。迟延交付违约金的总额不得超过合同价格的 10%。迟延交付违约金的支付不能免除卖方继续交付相关合同设备的义务，但如迟延交付必然导致合同设备安装、调试、考核、验收工作推迟的，相关工作应相应顺延。</w:t>
      </w:r>
    </w:p>
    <w:p w14:paraId="6EA250F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14.3买方未能按合同约定支付合同价款的，应向卖方支付延迟付款违约金。除专用合同条款另有约定外，迟延付款违约金的计算方法如下：</w:t>
      </w:r>
    </w:p>
    <w:p w14:paraId="79C0A09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（1）从迟付的第一周到第四周，每周迟延付款违约金为迟延付款金额的 0.5%；</w:t>
      </w:r>
    </w:p>
    <w:p w14:paraId="33A4109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（2）从迟付的第五周到第八周，每周迟延付款违约金为迟延付款金额的 1%；</w:t>
      </w:r>
    </w:p>
    <w:p w14:paraId="4E68262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（3）从迟付第九周起，每周迟延付款违约金为迟延付款金额的 1.5%。</w:t>
      </w:r>
    </w:p>
    <w:p w14:paraId="017ACD4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在计算迟延付款违约金时，迟付不足一周的按一周计算。迟延付款违约金的总额不得超过合同价格的 10%。</w:t>
      </w:r>
    </w:p>
    <w:p w14:paraId="2EEBD4F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72" w:name="_Toc21400"/>
      <w:r>
        <w:rPr>
          <w:rFonts w:hint="eastAsia" w:ascii="方正仿宋_GBK" w:hAnsi="方正仿宋_GBK" w:eastAsia="方正仿宋_GBK" w:cs="方正仿宋_GBK"/>
          <w:bCs/>
          <w:sz w:val="28"/>
          <w:szCs w:val="28"/>
        </w:rPr>
        <w:t>15、合同的解除</w:t>
      </w:r>
      <w:bookmarkEnd w:id="672"/>
    </w:p>
    <w:p w14:paraId="1614D5C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除专用合同条款另有约定外，有下述情形之一，当事人可发出书面通知全部或部分地解除合同，合同自通知到达对方时全部或部分地解除：</w:t>
      </w:r>
    </w:p>
    <w:p w14:paraId="110200F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（1）卖方迟延交付合同设备超过 3 个月；</w:t>
      </w:r>
    </w:p>
    <w:p w14:paraId="7B55F1E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2）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14:paraId="05E9A65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（3）买方迟延付款超过 3 个月；</w:t>
      </w:r>
    </w:p>
    <w:p w14:paraId="456F9B6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（4）合同一方当事人未能履行合同项下任何其它义务（细微义务除外），或在未事先征得另一方当事人同意的情况下，从事任何可能在实质上不利影响其履行合同能力的活动，经另一方当事人书面通知后 14 日内或在专用合同条款约定的其他期限内未能对其行为作出补救；</w:t>
      </w:r>
    </w:p>
    <w:p w14:paraId="76B2662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（5）合同一方当事人出现破产、清算、资不抵债、成为失信被执行人等可能丧失履约能力的情形，且未能提供令对方满意的履约保证金。</w:t>
      </w:r>
      <w:bookmarkStart w:id="673" w:name="65"/>
      <w:bookmarkEnd w:id="673"/>
    </w:p>
    <w:p w14:paraId="23BCA66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674" w:name="_Toc11271"/>
      <w:r>
        <w:rPr>
          <w:rFonts w:hint="eastAsia" w:ascii="方正仿宋_GBK" w:hAnsi="方正仿宋_GBK" w:eastAsia="方正仿宋_GBK" w:cs="方正仿宋_GBK"/>
          <w:bCs/>
          <w:sz w:val="28"/>
          <w:szCs w:val="28"/>
          <w:lang w:val="en-US"/>
        </w:rPr>
        <mc:AlternateContent>
          <mc:Choice Requires="wps">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773670" cy="10059670"/>
                <wp:effectExtent l="0" t="0" r="0" b="0"/>
                <wp:wrapNone/>
                <wp:docPr id="10" name="任意多边形 26"/>
                <wp:cNvGraphicFramePr/>
                <a:graphic xmlns:a="http://schemas.openxmlformats.org/drawingml/2006/main">
                  <a:graphicData uri="http://schemas.microsoft.com/office/word/2010/wordprocessingShape">
                    <wps:wsp>
                      <wps:cNvSpPr/>
                      <wps:spPr>
                        <a:xfrm>
                          <a:off x="0" y="0"/>
                          <a:ext cx="7773669" cy="10059670"/>
                        </a:xfrm>
                        <a:custGeom>
                          <a:avLst/>
                          <a:gdLst/>
                          <a:ahLst/>
                          <a:cxnLst/>
                          <a:rect l="l" t="t" r="r" b="b"/>
                          <a:pathLst>
                            <a:path w="21600" h="21600">
                              <a:close/>
                            </a:path>
                          </a:pathLst>
                        </a:custGeom>
                        <a:ln>
                          <a:noFill/>
                        </a:ln>
                      </wps:spPr>
                      <wps:bodyPr/>
                    </wps:wsp>
                  </a:graphicData>
                </a:graphic>
              </wp:anchor>
            </w:drawing>
          </mc:Choice>
          <mc:Fallback>
            <w:pict>
              <v:shape id="任意多边形 26" o:spid="_x0000_s1026" o:spt="100" style="position:absolute;left:0pt;margin-left:0pt;margin-top:0pt;height:792.1pt;width:612.1pt;mso-position-horizontal-relative:page;mso-position-vertical-relative:page;z-index:-251656192;mso-width-relative:page;mso-height-relative:page;" filled="f" stroked="f" coordsize="21600,21600" o:gfxdata="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Cj/u1gAAAAcBAAAPAAAAAAAAAAEAIAAA&#10;ACIAAABkcnMvZG93bnJldi54bWxQSwECFAAUAAAACACHTuJAqT4TwtUBAACmAwAADgAAAAAAAAAB&#10;ACAAAAAlAQAAZHJzL2Uyb0RvYy54bWxQSwUGAAAAAAYABgBZAQAAbAUAAAAA&#10;" path="xe">
                <v:fill on="f" focussize="0,0"/>
                <v:stroke on="f"/>
                <v:imagedata o:title=""/>
                <o:lock v:ext="edit" aspectratio="f"/>
              </v:shape>
            </w:pict>
          </mc:Fallback>
        </mc:AlternateContent>
      </w:r>
      <w:r>
        <w:rPr>
          <w:rFonts w:hint="eastAsia" w:ascii="方正仿宋_GBK" w:hAnsi="方正仿宋_GBK" w:eastAsia="方正仿宋_GBK" w:cs="方正仿宋_GBK"/>
          <w:bCs/>
          <w:sz w:val="28"/>
          <w:szCs w:val="28"/>
        </w:rPr>
        <w:t>16、不可抗力</w:t>
      </w:r>
      <w:bookmarkEnd w:id="674"/>
    </w:p>
    <w:p w14:paraId="5A8058D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16.1如果任何一方当事人受到不能预见、不能避免且不能克服的不可抗力事件的影响，例如战争、严重的火灾、台风、地震、洪水和专用合同条款约定的其他情形，而无法履行合同项下的任何义务，则受影响的一方当事人应立即将此类事件的发生通知另一方当事人，并应在不可抗力事件发生后 28 日内将有关当局或机构出具的证明文件提交给另一方当事人。</w:t>
      </w:r>
    </w:p>
    <w:p w14:paraId="70C8974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16.2受不可抗力事件影响的一方当事人对于不可抗力事件导致的任何合同义务的迟延履行或不能履行不承担违约责任。但该方当事人应尽快将不可抗力事件结束或消除的情况通知另一方当事人。</w:t>
      </w:r>
    </w:p>
    <w:p w14:paraId="13B5DB5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16.3双方当事人应在不可抗力事件结束或其影响消除后立即继续履行其合同义务，合同期限也应相应顺延。除专用合同条款另有约定外，如果不可抗力事件的影响持续超过140日，则任何一方当事人均有权以书面通知解除合同。</w:t>
      </w:r>
    </w:p>
    <w:p w14:paraId="3DB4004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17、争议的解决</w:t>
      </w:r>
    </w:p>
    <w:p w14:paraId="0E9DDB3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因本合同引起的或与本合同有关的任何争议,双方可通过友好协商解决。友好协商解决不成的，可在专用合同条款中约定下列一种方式解决：</w:t>
      </w:r>
    </w:p>
    <w:p w14:paraId="0758B8D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（1）向约定的仲裁委员会申请仲裁；</w:t>
      </w:r>
    </w:p>
    <w:p w14:paraId="5FBFAA3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bCs/>
          <w:sz w:val="28"/>
          <w:szCs w:val="28"/>
        </w:rPr>
        <w:t>（2）向有管辖权的人民法院提起诉讼。</w:t>
      </w:r>
    </w:p>
    <w:p w14:paraId="4C54884F">
      <w:pPr>
        <w:pStyle w:val="4"/>
        <w:pageBreakBefore w:val="0"/>
        <w:kinsoku/>
        <w:wordWrap/>
        <w:overflowPunct/>
        <w:topLinePunct w:val="0"/>
        <w:autoSpaceDE/>
        <w:autoSpaceDN/>
        <w:bidi w:val="0"/>
        <w:spacing w:line="400" w:lineRule="exact"/>
        <w:jc w:val="center"/>
        <w:textAlignment w:val="auto"/>
        <w:rPr>
          <w:rFonts w:hint="eastAsia" w:ascii="方正仿宋_GBK" w:hAnsi="方正仿宋_GBK" w:eastAsia="方正仿宋_GBK" w:cs="方正仿宋_GBK"/>
        </w:rPr>
      </w:pPr>
    </w:p>
    <w:p w14:paraId="6BE006FE">
      <w:pPr>
        <w:pStyle w:val="4"/>
        <w:pageBreakBefore w:val="0"/>
        <w:kinsoku/>
        <w:wordWrap/>
        <w:overflowPunct/>
        <w:topLinePunct w:val="0"/>
        <w:autoSpaceDE/>
        <w:autoSpaceDN/>
        <w:bidi w:val="0"/>
        <w:spacing w:line="400" w:lineRule="exact"/>
        <w:jc w:val="both"/>
        <w:textAlignment w:val="auto"/>
        <w:rPr>
          <w:rFonts w:hint="eastAsia" w:ascii="方正仿宋_GBK" w:hAnsi="方正仿宋_GBK" w:eastAsia="方正仿宋_GBK" w:cs="方正仿宋_GBK"/>
        </w:rPr>
      </w:pPr>
    </w:p>
    <w:p w14:paraId="2291F4DA">
      <w:pPr>
        <w:pStyle w:val="4"/>
        <w:pageBreakBefore w:val="0"/>
        <w:kinsoku/>
        <w:wordWrap/>
        <w:overflowPunct/>
        <w:topLinePunct w:val="0"/>
        <w:autoSpaceDE/>
        <w:autoSpaceDN/>
        <w:bidi w:val="0"/>
        <w:spacing w:line="400" w:lineRule="exact"/>
        <w:jc w:val="center"/>
        <w:textAlignment w:val="auto"/>
        <w:rPr>
          <w:rFonts w:hint="eastAsia" w:ascii="方正仿宋_GBK" w:hAnsi="方正仿宋_GBK" w:eastAsia="方正仿宋_GBK" w:cs="方正仿宋_GBK"/>
        </w:rPr>
      </w:pPr>
    </w:p>
    <w:p w14:paraId="629192D6">
      <w:pPr>
        <w:pStyle w:val="4"/>
        <w:pageBreakBefore w:val="0"/>
        <w:kinsoku/>
        <w:wordWrap/>
        <w:overflowPunct/>
        <w:topLinePunct w:val="0"/>
        <w:autoSpaceDE/>
        <w:autoSpaceDN/>
        <w:bidi w:val="0"/>
        <w:spacing w:line="400" w:lineRule="exact"/>
        <w:jc w:val="center"/>
        <w:textAlignment w:val="auto"/>
        <w:rPr>
          <w:rFonts w:hint="eastAsia" w:ascii="方正仿宋_GBK" w:hAnsi="方正仿宋_GBK" w:eastAsia="方正仿宋_GBK" w:cs="方正仿宋_GBK"/>
        </w:rPr>
      </w:pPr>
    </w:p>
    <w:p w14:paraId="4385C755">
      <w:pPr>
        <w:pStyle w:val="4"/>
        <w:pageBreakBefore w:val="0"/>
        <w:kinsoku/>
        <w:wordWrap/>
        <w:overflowPunct/>
        <w:topLinePunct w:val="0"/>
        <w:autoSpaceDE/>
        <w:autoSpaceDN/>
        <w:bidi w:val="0"/>
        <w:spacing w:line="400" w:lineRule="exact"/>
        <w:jc w:val="center"/>
        <w:textAlignment w:val="auto"/>
        <w:rPr>
          <w:rFonts w:hint="eastAsia" w:ascii="方正仿宋_GBK" w:hAnsi="方正仿宋_GBK" w:eastAsia="方正仿宋_GBK" w:cs="方正仿宋_GBK"/>
        </w:rPr>
      </w:pPr>
    </w:p>
    <w:p w14:paraId="5AAA38D0">
      <w:pPr>
        <w:pStyle w:val="4"/>
        <w:pageBreakBefore w:val="0"/>
        <w:kinsoku/>
        <w:wordWrap/>
        <w:overflowPunct/>
        <w:topLinePunct w:val="0"/>
        <w:autoSpaceDE/>
        <w:autoSpaceDN/>
        <w:bidi w:val="0"/>
        <w:spacing w:line="400" w:lineRule="exact"/>
        <w:jc w:val="both"/>
        <w:textAlignment w:val="auto"/>
        <w:rPr>
          <w:rFonts w:hint="eastAsia" w:ascii="方正仿宋_GBK" w:hAnsi="方正仿宋_GBK" w:eastAsia="方正仿宋_GBK" w:cs="方正仿宋_GBK"/>
        </w:rPr>
      </w:pPr>
    </w:p>
    <w:p w14:paraId="6A610E23">
      <w:pPr>
        <w:rPr>
          <w:rFonts w:hint="eastAsia"/>
        </w:rPr>
      </w:pPr>
    </w:p>
    <w:p w14:paraId="4E7EA5A7">
      <w:pPr>
        <w:pStyle w:val="2"/>
        <w:rPr>
          <w:rFonts w:hint="eastAsia"/>
        </w:rPr>
      </w:pPr>
    </w:p>
    <w:p w14:paraId="4FE12D0E">
      <w:pPr>
        <w:rPr>
          <w:rFonts w:hint="eastAsia"/>
        </w:rPr>
      </w:pPr>
    </w:p>
    <w:p w14:paraId="319FEA45">
      <w:pPr>
        <w:pStyle w:val="2"/>
        <w:rPr>
          <w:rFonts w:hint="eastAsia"/>
        </w:rPr>
      </w:pPr>
    </w:p>
    <w:p w14:paraId="640A2AC1">
      <w:pPr>
        <w:rPr>
          <w:rFonts w:hint="eastAsia"/>
        </w:rPr>
      </w:pPr>
    </w:p>
    <w:p w14:paraId="50F3DB6B">
      <w:pPr>
        <w:pStyle w:val="2"/>
        <w:rPr>
          <w:rFonts w:hint="eastAsia"/>
        </w:rPr>
      </w:pPr>
    </w:p>
    <w:p w14:paraId="7AC018CD">
      <w:pPr>
        <w:rPr>
          <w:rFonts w:hint="eastAsia"/>
        </w:rPr>
      </w:pPr>
    </w:p>
    <w:p w14:paraId="4FA6E49E">
      <w:pPr>
        <w:pStyle w:val="2"/>
        <w:rPr>
          <w:rFonts w:hint="eastAsia"/>
        </w:rPr>
      </w:pPr>
    </w:p>
    <w:p w14:paraId="1279DBA7">
      <w:pPr>
        <w:rPr>
          <w:rFonts w:hint="eastAsia"/>
        </w:rPr>
      </w:pPr>
    </w:p>
    <w:p w14:paraId="537698A6">
      <w:pPr>
        <w:pStyle w:val="2"/>
        <w:rPr>
          <w:rFonts w:hint="eastAsia"/>
        </w:rPr>
      </w:pPr>
    </w:p>
    <w:p w14:paraId="194F990D">
      <w:pPr>
        <w:rPr>
          <w:rFonts w:hint="eastAsia"/>
        </w:rPr>
      </w:pPr>
    </w:p>
    <w:p w14:paraId="0B30D32E">
      <w:pPr>
        <w:pStyle w:val="2"/>
        <w:rPr>
          <w:rFonts w:hint="eastAsia"/>
        </w:rPr>
      </w:pPr>
    </w:p>
    <w:p w14:paraId="746EAAFF">
      <w:pPr>
        <w:rPr>
          <w:rFonts w:hint="eastAsia"/>
        </w:rPr>
      </w:pPr>
    </w:p>
    <w:p w14:paraId="7AC3FADA">
      <w:pPr>
        <w:pStyle w:val="2"/>
        <w:rPr>
          <w:rFonts w:hint="eastAsia"/>
        </w:rPr>
      </w:pPr>
    </w:p>
    <w:p w14:paraId="14DF70A9">
      <w:pPr>
        <w:rPr>
          <w:rFonts w:hint="eastAsia"/>
        </w:rPr>
      </w:pPr>
    </w:p>
    <w:p w14:paraId="25904639">
      <w:pPr>
        <w:rPr>
          <w:rFonts w:hint="eastAsia"/>
        </w:rPr>
      </w:pPr>
    </w:p>
    <w:p w14:paraId="211542CE">
      <w:pPr>
        <w:pStyle w:val="4"/>
        <w:pageBreakBefore w:val="0"/>
        <w:kinsoku/>
        <w:wordWrap/>
        <w:overflowPunct/>
        <w:topLinePunct w:val="0"/>
        <w:autoSpaceDE/>
        <w:autoSpaceDN/>
        <w:bidi w:val="0"/>
        <w:spacing w:line="400" w:lineRule="exact"/>
        <w:jc w:val="center"/>
        <w:textAlignment w:val="auto"/>
        <w:rPr>
          <w:rFonts w:ascii="方正仿宋_GBK" w:hAnsi="方正仿宋_GBK" w:eastAsia="方正仿宋_GBK" w:cs="方正仿宋_GBK"/>
        </w:rPr>
      </w:pPr>
      <w:r>
        <w:rPr>
          <w:rFonts w:hint="eastAsia" w:ascii="方正仿宋_GBK" w:hAnsi="方正仿宋_GBK" w:eastAsia="方正仿宋_GBK" w:cs="方正仿宋_GBK"/>
        </w:rPr>
        <w:t>第三部分 专用合同条款</w:t>
      </w:r>
      <w:bookmarkEnd w:id="615"/>
      <w:bookmarkEnd w:id="616"/>
      <w:bookmarkEnd w:id="617"/>
      <w:bookmarkEnd w:id="618"/>
      <w:bookmarkEnd w:id="619"/>
    </w:p>
    <w:p w14:paraId="5E21599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75" w:name="_Toc2574"/>
      <w:bookmarkStart w:id="676" w:name="_Toc18756"/>
      <w:r>
        <w:rPr>
          <w:rFonts w:hint="eastAsia" w:ascii="方正仿宋_GBK" w:hAnsi="方正仿宋_GBK" w:eastAsia="方正仿宋_GBK" w:cs="方正仿宋_GBK"/>
          <w:bCs/>
          <w:sz w:val="28"/>
          <w:szCs w:val="28"/>
          <w:lang w:val="en-US"/>
        </w:rPr>
        <w:t>1、一般约定</w:t>
      </w:r>
      <w:bookmarkEnd w:id="675"/>
      <w:bookmarkEnd w:id="676"/>
    </w:p>
    <w:p w14:paraId="4774324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77" w:name="_Toc26182"/>
      <w:r>
        <w:rPr>
          <w:rFonts w:hint="eastAsia" w:ascii="方正仿宋_GBK" w:hAnsi="方正仿宋_GBK" w:eastAsia="方正仿宋_GBK" w:cs="方正仿宋_GBK"/>
          <w:bCs/>
          <w:sz w:val="28"/>
          <w:szCs w:val="28"/>
          <w:lang w:val="en-US"/>
        </w:rPr>
        <w:t>1.5 联络</w:t>
      </w:r>
      <w:bookmarkEnd w:id="677"/>
    </w:p>
    <w:p w14:paraId="5573437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1.5.1买卖双方合同履行以通知、信函、电子邮件等开展联系, 书面文件或电子邮件发送至指定联络人都视为送达。如遇有重大问题需要双方立即研究协商时，双方均可提议召开会议，双方签署的会议纪要或联络记录作为合同的组成部分，与合同具有同等效力。</w:t>
      </w:r>
      <w:bookmarkStart w:id="678" w:name="_Toc512074685"/>
      <w:bookmarkStart w:id="679" w:name="_Toc512156576"/>
    </w:p>
    <w:p w14:paraId="42A3369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1.5.2 联络人</w:t>
      </w:r>
    </w:p>
    <w:p w14:paraId="0CB4C31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买方可以安排监理等相关人员与卖方进行联络或参加合同材料的检验和验收等。指定联络人如下：</w:t>
      </w:r>
    </w:p>
    <w:p w14:paraId="590584E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1.5.2.1卖方指定：（</w:t>
      </w:r>
      <w:r>
        <w:rPr>
          <w:rFonts w:hint="eastAsia" w:ascii="方正仿宋_GBK" w:hAnsi="方正仿宋_GBK" w:eastAsia="方正仿宋_GBK" w:cs="方正仿宋_GBK"/>
          <w:bCs/>
          <w:sz w:val="28"/>
          <w:szCs w:val="28"/>
          <w:lang w:val="en-US" w:eastAsia="zh-CN"/>
        </w:rPr>
        <w:t xml:space="preserve">             </w:t>
      </w:r>
      <w:r>
        <w:rPr>
          <w:rFonts w:hint="eastAsia" w:ascii="方正仿宋_GBK" w:hAnsi="方正仿宋_GBK" w:eastAsia="方正仿宋_GBK" w:cs="方正仿宋_GBK"/>
          <w:bCs/>
          <w:sz w:val="28"/>
          <w:szCs w:val="28"/>
          <w:lang w:val="en-US"/>
        </w:rPr>
        <w:t>），负责协调处理合同执行过程中全部问题。</w:t>
      </w:r>
    </w:p>
    <w:p w14:paraId="7F6CF18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1.5.2.2买方指定：（</w:t>
      </w:r>
      <w:r>
        <w:rPr>
          <w:rFonts w:hint="eastAsia" w:ascii="方正仿宋_GBK" w:hAnsi="方正仿宋_GBK" w:eastAsia="方正仿宋_GBK" w:cs="方正仿宋_GBK"/>
          <w:bCs/>
          <w:sz w:val="28"/>
          <w:szCs w:val="28"/>
          <w:lang w:val="en-US" w:eastAsia="zh-CN"/>
        </w:rPr>
        <w:t>蒲田13594581596</w:t>
      </w:r>
      <w:r>
        <w:rPr>
          <w:rFonts w:hint="eastAsia" w:ascii="方正仿宋_GBK" w:hAnsi="方正仿宋_GBK" w:eastAsia="方正仿宋_GBK" w:cs="方正仿宋_GBK"/>
          <w:bCs/>
          <w:sz w:val="28"/>
          <w:szCs w:val="28"/>
          <w:lang w:val="en-US"/>
        </w:rPr>
        <w:t>），负责技术事项并完成《技术协议书》签订工作。</w:t>
      </w:r>
    </w:p>
    <w:p w14:paraId="58990BA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1.5.2.3买方指定：（</w:t>
      </w:r>
      <w:r>
        <w:rPr>
          <w:rFonts w:hint="eastAsia" w:ascii="方正仿宋_GBK" w:hAnsi="方正仿宋_GBK" w:eastAsia="方正仿宋_GBK" w:cs="方正仿宋_GBK"/>
          <w:bCs/>
          <w:sz w:val="28"/>
          <w:szCs w:val="28"/>
          <w:lang w:val="en-US" w:eastAsia="zh-CN"/>
        </w:rPr>
        <w:t>胡煜19923183614</w:t>
      </w:r>
      <w:r>
        <w:rPr>
          <w:rFonts w:hint="eastAsia" w:ascii="方正仿宋_GBK" w:hAnsi="方正仿宋_GBK" w:eastAsia="方正仿宋_GBK" w:cs="方正仿宋_GBK"/>
          <w:bCs/>
          <w:sz w:val="28"/>
          <w:szCs w:val="28"/>
          <w:lang w:val="en-US"/>
        </w:rPr>
        <w:t>），负责合同执行过程中商务部分有关事项；（</w:t>
      </w:r>
      <w:r>
        <w:rPr>
          <w:rFonts w:hint="eastAsia" w:ascii="方正仿宋_GBK" w:hAnsi="方正仿宋_GBK" w:eastAsia="方正仿宋_GBK" w:cs="方正仿宋_GBK"/>
          <w:bCs/>
          <w:sz w:val="28"/>
          <w:szCs w:val="28"/>
          <w:lang w:val="en-US" w:eastAsia="zh-CN"/>
        </w:rPr>
        <w:t>胡煜19923183614</w:t>
      </w:r>
      <w:r>
        <w:rPr>
          <w:rFonts w:hint="eastAsia" w:ascii="方正仿宋_GBK" w:hAnsi="方正仿宋_GBK" w:eastAsia="方正仿宋_GBK" w:cs="方正仿宋_GBK"/>
          <w:bCs/>
          <w:sz w:val="28"/>
          <w:szCs w:val="28"/>
          <w:lang w:val="en-US"/>
        </w:rPr>
        <w:t>），负责衔接并落实设备现场交接有关事项。</w:t>
      </w:r>
    </w:p>
    <w:p w14:paraId="1093612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买卖双方联络人如有变动，须以书面授权的方式告知对方。</w:t>
      </w:r>
    </w:p>
    <w:p w14:paraId="0D9696E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80" w:name="_Toc1325"/>
      <w:r>
        <w:rPr>
          <w:rFonts w:hint="eastAsia" w:ascii="方正仿宋_GBK" w:hAnsi="方正仿宋_GBK" w:eastAsia="方正仿宋_GBK" w:cs="方正仿宋_GBK"/>
          <w:bCs/>
          <w:sz w:val="28"/>
          <w:szCs w:val="28"/>
          <w:lang w:val="en-US"/>
        </w:rPr>
        <w:t>1.6联合体</w:t>
      </w:r>
      <w:bookmarkEnd w:id="678"/>
      <w:bookmarkEnd w:id="679"/>
      <w:bookmarkEnd w:id="680"/>
    </w:p>
    <w:p w14:paraId="0223058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不接受联合体签订合同。</w:t>
      </w:r>
    </w:p>
    <w:p w14:paraId="6792824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81" w:name="_Toc22007"/>
      <w:bookmarkStart w:id="682" w:name="_Toc29731"/>
      <w:r>
        <w:rPr>
          <w:rFonts w:hint="eastAsia" w:ascii="方正仿宋_GBK" w:hAnsi="方正仿宋_GBK" w:eastAsia="方正仿宋_GBK" w:cs="方正仿宋_GBK"/>
          <w:bCs/>
          <w:sz w:val="28"/>
          <w:szCs w:val="28"/>
          <w:lang w:val="en-US"/>
        </w:rPr>
        <w:t>2、合同范围</w:t>
      </w:r>
      <w:bookmarkEnd w:id="681"/>
      <w:bookmarkEnd w:id="682"/>
    </w:p>
    <w:p w14:paraId="6D62937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按照《合同协议书中》</w:t>
      </w:r>
      <w:r>
        <w:rPr>
          <w:rFonts w:hint="eastAsia" w:ascii="方正仿宋_GBK" w:hAnsi="方正仿宋_GBK" w:eastAsia="方正仿宋_GBK" w:cs="方正仿宋_GBK"/>
          <w:bCs/>
          <w:sz w:val="28"/>
          <w:szCs w:val="28"/>
          <w:lang w:val="en-US" w:eastAsia="zh-CN"/>
        </w:rPr>
        <w:t>中</w:t>
      </w:r>
      <w:r>
        <w:rPr>
          <w:rFonts w:hint="eastAsia" w:ascii="方正仿宋_GBK" w:hAnsi="方正仿宋_GBK" w:eastAsia="方正仿宋_GBK" w:cs="方正仿宋_GBK"/>
          <w:bCs/>
          <w:sz w:val="28"/>
          <w:szCs w:val="28"/>
          <w:lang w:val="en-US"/>
        </w:rPr>
        <w:t>第三条的规定执行。</w:t>
      </w:r>
    </w:p>
    <w:p w14:paraId="6D20958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83" w:name="_Toc31730"/>
      <w:bookmarkStart w:id="684" w:name="_Toc29201"/>
      <w:r>
        <w:rPr>
          <w:rFonts w:hint="eastAsia" w:ascii="方正仿宋_GBK" w:hAnsi="方正仿宋_GBK" w:eastAsia="方正仿宋_GBK" w:cs="方正仿宋_GBK"/>
          <w:bCs/>
          <w:sz w:val="28"/>
          <w:szCs w:val="28"/>
          <w:lang w:val="en-US"/>
        </w:rPr>
        <w:t>3、合同价格与支付</w:t>
      </w:r>
      <w:bookmarkEnd w:id="683"/>
      <w:bookmarkEnd w:id="684"/>
    </w:p>
    <w:p w14:paraId="676DA9C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85" w:name="_Toc820"/>
      <w:r>
        <w:rPr>
          <w:rFonts w:hint="eastAsia" w:ascii="方正仿宋_GBK" w:hAnsi="方正仿宋_GBK" w:eastAsia="方正仿宋_GBK" w:cs="方正仿宋_GBK"/>
          <w:bCs/>
          <w:sz w:val="28"/>
          <w:szCs w:val="28"/>
          <w:lang w:val="en-US"/>
        </w:rPr>
        <w:t>3.1合同价格</w:t>
      </w:r>
      <w:bookmarkEnd w:id="685"/>
    </w:p>
    <w:p w14:paraId="1164F7A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3.1.1按《合同协议书中》</w:t>
      </w:r>
      <w:r>
        <w:rPr>
          <w:rFonts w:hint="eastAsia" w:ascii="方正仿宋_GBK" w:hAnsi="方正仿宋_GBK" w:eastAsia="方正仿宋_GBK" w:cs="方正仿宋_GBK"/>
          <w:bCs/>
          <w:sz w:val="28"/>
          <w:szCs w:val="28"/>
          <w:lang w:val="en-US" w:eastAsia="zh-CN"/>
        </w:rPr>
        <w:t>中</w:t>
      </w:r>
      <w:r>
        <w:rPr>
          <w:rFonts w:hint="eastAsia" w:ascii="方正仿宋_GBK" w:hAnsi="方正仿宋_GBK" w:eastAsia="方正仿宋_GBK" w:cs="方正仿宋_GBK"/>
          <w:bCs/>
          <w:sz w:val="28"/>
          <w:szCs w:val="28"/>
          <w:lang w:val="en-US"/>
        </w:rPr>
        <w:t>第三条的规定执行。</w:t>
      </w:r>
    </w:p>
    <w:p w14:paraId="23D1F43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86" w:name="_Toc12453"/>
      <w:r>
        <w:rPr>
          <w:rFonts w:hint="eastAsia" w:ascii="方正仿宋_GBK" w:hAnsi="方正仿宋_GBK" w:eastAsia="方正仿宋_GBK" w:cs="方正仿宋_GBK"/>
          <w:bCs/>
          <w:sz w:val="28"/>
          <w:szCs w:val="28"/>
          <w:lang w:val="en-US"/>
        </w:rPr>
        <w:t>3.2合同价款的支付</w:t>
      </w:r>
      <w:bookmarkEnd w:id="686"/>
      <w:r>
        <w:rPr>
          <w:rFonts w:hint="eastAsia" w:ascii="方正仿宋_GBK" w:hAnsi="方正仿宋_GBK" w:eastAsia="方正仿宋_GBK" w:cs="方正仿宋_GBK"/>
          <w:bCs/>
          <w:sz w:val="28"/>
          <w:szCs w:val="28"/>
          <w:lang w:val="en-US"/>
        </w:rPr>
        <w:t>，修改为：</w:t>
      </w:r>
    </w:p>
    <w:p w14:paraId="15D00022">
      <w:pPr>
        <w:pageBreakBefore w:val="0"/>
        <w:kinsoku/>
        <w:wordWrap/>
        <w:overflowPunct/>
        <w:topLinePunct w:val="0"/>
        <w:autoSpaceDE/>
        <w:autoSpaceDN/>
        <w:bidi w:val="0"/>
        <w:adjustRightInd w:val="0"/>
        <w:spacing w:line="400" w:lineRule="exact"/>
        <w:ind w:firstLine="560" w:firstLineChars="200"/>
        <w:textAlignment w:val="auto"/>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3.2.1到货款（50%）：合同设备</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lang w:val="en-US" w:eastAsia="zh-CN"/>
        </w:rPr>
        <w:t>材料</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经买方验收合格后，且卖方提交全额增值税专用发票等手续,买方审核无误后30日历天内完成到货款支付。</w:t>
      </w:r>
    </w:p>
    <w:p w14:paraId="23033F8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3.2.2投运款（4</w:t>
      </w:r>
      <w:r>
        <w:rPr>
          <w:rFonts w:hint="eastAsia" w:ascii="方正仿宋_GBK" w:hAnsi="方正仿宋_GBK" w:eastAsia="方正仿宋_GBK" w:cs="方正仿宋_GBK"/>
          <w:bCs/>
          <w:sz w:val="28"/>
          <w:szCs w:val="28"/>
          <w:lang w:val="en-US" w:eastAsia="zh-CN"/>
        </w:rPr>
        <w:t>5</w:t>
      </w:r>
      <w:r>
        <w:rPr>
          <w:rFonts w:hint="eastAsia" w:ascii="方正仿宋_GBK" w:hAnsi="方正仿宋_GBK" w:eastAsia="方正仿宋_GBK" w:cs="方正仿宋_GBK"/>
          <w:bCs/>
          <w:sz w:val="28"/>
          <w:szCs w:val="28"/>
        </w:rPr>
        <w:t>%）：</w:t>
      </w:r>
      <w:r>
        <w:rPr>
          <w:rFonts w:hint="eastAsia" w:ascii="方正仿宋_GBK" w:hAnsi="方正仿宋_GBK" w:eastAsia="方正仿宋_GBK" w:cs="方正仿宋_GBK"/>
          <w:bCs/>
          <w:sz w:val="28"/>
          <w:szCs w:val="28"/>
          <w:lang w:val="en-US" w:eastAsia="zh-CN"/>
        </w:rPr>
        <w:t>工程竣工验收合格或货到验收合格之日起12个月（以两者先到为准），卖方提交与投运款金额一致的收据等手续经买方审核无误后，30 个工作日内完成投运款支付。</w:t>
      </w:r>
    </w:p>
    <w:p w14:paraId="10819B9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eastAsia="zh-CN"/>
        </w:rPr>
      </w:pPr>
      <w:r>
        <w:rPr>
          <w:rFonts w:hint="eastAsia" w:ascii="方正仿宋_GBK" w:hAnsi="方正仿宋_GBK" w:eastAsia="方正仿宋_GBK" w:cs="方正仿宋_GBK"/>
          <w:bCs/>
          <w:sz w:val="28"/>
          <w:szCs w:val="28"/>
          <w:lang w:val="en-US" w:eastAsia="zh-CN"/>
        </w:rPr>
        <w:t>3.2.3质保金（5%）：剩余 5%货款为质量保证金，在质量保证期（质保期为工程竣工验收合格之日起</w:t>
      </w:r>
      <w:r>
        <w:rPr>
          <w:rFonts w:hint="eastAsia" w:ascii="方正仿宋_GBK" w:hAnsi="方正仿宋_GBK" w:eastAsia="方正仿宋_GBK" w:cs="方正仿宋_GBK"/>
          <w:bCs/>
          <w:sz w:val="28"/>
          <w:szCs w:val="28"/>
          <w:u w:val="single"/>
          <w:lang w:val="en-US" w:eastAsia="zh-CN"/>
        </w:rPr>
        <w:t>12</w:t>
      </w:r>
      <w:r>
        <w:rPr>
          <w:rFonts w:hint="eastAsia" w:ascii="方正仿宋_GBK" w:hAnsi="方正仿宋_GBK" w:eastAsia="方正仿宋_GBK" w:cs="方正仿宋_GBK"/>
          <w:bCs/>
          <w:sz w:val="28"/>
          <w:szCs w:val="28"/>
          <w:lang w:val="en-US" w:eastAsia="zh-CN"/>
        </w:rPr>
        <w:t>个月）满时，如有索赔则完成索赔后，卖方提交与质保金金额一致的收据等手续经买方审核无误后，30 个工作日内完成质保金支付。</w:t>
      </w:r>
    </w:p>
    <w:p w14:paraId="1B3CF49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3.2.4买方开票信息</w:t>
      </w:r>
    </w:p>
    <w:p w14:paraId="2C77194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名      称：重庆涪陵聚龙电力有限公司</w:t>
      </w:r>
    </w:p>
    <w:p w14:paraId="10C0CD7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纳税识别号：915001026608901334</w:t>
      </w:r>
    </w:p>
    <w:p w14:paraId="1B82EFC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地址、电话：重庆市涪陵区新城区鹤凤大道19号  023-72285301</w:t>
      </w:r>
    </w:p>
    <w:p w14:paraId="0398DEB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开 户 银行：重庆农村商业银行涪陵分行营业部</w:t>
      </w:r>
    </w:p>
    <w:p w14:paraId="4C5D1C8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帐      号：2417010120010005237</w:t>
      </w:r>
    </w:p>
    <w:p w14:paraId="007AA80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3.2.5信息变更</w:t>
      </w:r>
    </w:p>
    <w:p w14:paraId="7EC48A4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卖方不可随意变更本合同的收款单位、开户银行及账号等，若确因单位信息发生变更必须变更的，应及时向买方提供变更的</w:t>
      </w:r>
      <w:r>
        <w:rPr>
          <w:rFonts w:hint="eastAsia" w:ascii="方正仿宋_GBK" w:hAnsi="方正仿宋_GBK" w:eastAsia="方正仿宋_GBK" w:cs="方正仿宋_GBK"/>
          <w:bCs/>
          <w:sz w:val="28"/>
          <w:szCs w:val="28"/>
          <w:lang w:val="en-US" w:eastAsia="zh-CN"/>
        </w:rPr>
        <w:t>书面</w:t>
      </w:r>
      <w:r>
        <w:rPr>
          <w:rFonts w:hint="eastAsia" w:ascii="方正仿宋_GBK" w:hAnsi="方正仿宋_GBK" w:eastAsia="方正仿宋_GBK" w:cs="方正仿宋_GBK"/>
          <w:bCs/>
          <w:sz w:val="28"/>
          <w:szCs w:val="28"/>
          <w:lang w:val="en-US"/>
        </w:rPr>
        <w:t>证明文件，否则造成的一切后果由卖方承担。</w:t>
      </w:r>
    </w:p>
    <w:p w14:paraId="7384EB0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87" w:name="_Toc4663"/>
      <w:r>
        <w:rPr>
          <w:rFonts w:hint="eastAsia" w:ascii="方正仿宋_GBK" w:hAnsi="方正仿宋_GBK" w:eastAsia="方正仿宋_GBK" w:cs="方正仿宋_GBK"/>
          <w:bCs/>
          <w:sz w:val="28"/>
          <w:szCs w:val="28"/>
          <w:lang w:val="en-US"/>
        </w:rPr>
        <w:t>4、监造及交货前检验</w:t>
      </w:r>
      <w:bookmarkEnd w:id="687"/>
    </w:p>
    <w:p w14:paraId="385E43F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88" w:name="_Toc19068"/>
      <w:r>
        <w:rPr>
          <w:rFonts w:hint="eastAsia" w:ascii="方正仿宋_GBK" w:hAnsi="方正仿宋_GBK" w:eastAsia="方正仿宋_GBK" w:cs="方正仿宋_GBK"/>
          <w:bCs/>
          <w:sz w:val="28"/>
          <w:szCs w:val="28"/>
          <w:lang w:val="en-US"/>
        </w:rPr>
        <w:t>4.1 监造</w:t>
      </w:r>
      <w:bookmarkEnd w:id="688"/>
    </w:p>
    <w:p w14:paraId="1827270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4.1.2卖方应免费为买方监造人员提供工作条件及便利，包括但不限于必要的办公场所、技术资料、检测工具及出入许可等。买方监造人员的交通、食宿费用由买方承担。</w:t>
      </w:r>
    </w:p>
    <w:p w14:paraId="0209636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4.1.3 卖方应将买方监造纳入生产进度计划，并提前通知买方；买方进行监造不应影响合同设备的正常生产。卖方应提前7日将需要买方监造人员现场监造事项通知买方，买方监造人员未按通知出席，不视为认可卖方合同设备及其关键部件等符合买方要求及双方合同约定，且不影响合同设备及其关键部件的制造或检验，监造人员有权事后了解、查阅、复制相关制造或检验记录。</w:t>
      </w:r>
    </w:p>
    <w:p w14:paraId="56F8178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89" w:name="_Toc31404"/>
      <w:r>
        <w:rPr>
          <w:rFonts w:hint="eastAsia" w:ascii="方正仿宋_GBK" w:hAnsi="方正仿宋_GBK" w:eastAsia="方正仿宋_GBK" w:cs="方正仿宋_GBK"/>
          <w:bCs/>
          <w:sz w:val="28"/>
          <w:szCs w:val="28"/>
          <w:lang w:val="en-US"/>
        </w:rPr>
        <w:t>4.2交货前检验</w:t>
      </w:r>
      <w:bookmarkEnd w:id="689"/>
    </w:p>
    <w:p w14:paraId="01A5AE6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4.2.2 买方参与交货前检验的，卖方应按合同条款约定提前通知买方，如买方代表未按通知出席，不影响合同设备的检验，不视为对卖方合同设备的认可。</w:t>
      </w:r>
    </w:p>
    <w:p w14:paraId="1DEB731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90" w:name="_Toc32608"/>
      <w:bookmarkStart w:id="691" w:name="_Toc20305"/>
      <w:bookmarkStart w:id="692" w:name="_Toc512074695"/>
      <w:r>
        <w:rPr>
          <w:rFonts w:hint="eastAsia" w:ascii="方正仿宋_GBK" w:hAnsi="方正仿宋_GBK" w:eastAsia="方正仿宋_GBK" w:cs="方正仿宋_GBK"/>
          <w:bCs/>
          <w:sz w:val="28"/>
          <w:szCs w:val="28"/>
          <w:lang w:val="en-US"/>
        </w:rPr>
        <w:t>5、包装、标记、运输和交付</w:t>
      </w:r>
      <w:bookmarkEnd w:id="690"/>
      <w:bookmarkEnd w:id="691"/>
    </w:p>
    <w:bookmarkEnd w:id="692"/>
    <w:p w14:paraId="5CDF9C3D">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5.1包装</w:t>
      </w:r>
    </w:p>
    <w:p w14:paraId="042F7D2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增加以下条款：</w:t>
      </w:r>
    </w:p>
    <w:p w14:paraId="536CE74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5.1.4合同设备严禁使用松木做包装材料（包括松木包装箱、线缆盘、垫木、固定支架等）。如使用其它木质包装材料，卖方应在发货前通知买方，并到当地森林检疫部门办理《植物检疫证书》。该证书必须随货同行，作为附随资料交付买方，否则买方有权拒收，卖方承担由此造成的相关责任和损失。</w:t>
      </w:r>
    </w:p>
    <w:p w14:paraId="5D59B5F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5.2标记</w:t>
      </w:r>
    </w:p>
    <w:p w14:paraId="117B6A4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增加以下条款：</w:t>
      </w:r>
    </w:p>
    <w:p w14:paraId="2C48C09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5.2.3 凡重量达到2吨的合同设备或特殊形状的合同设备，应在包装箱的侧面以运输常用的标记和图案标明重量及起吊位置，以便于装卸搬运。按照合同设备的特点，装卸和运输上的不同要求，包装箱上应明显地印刷“禁止溜放”、“勿倒置”、“防雨”等字样，标有适当的习惯用符号和直观标记。</w:t>
      </w:r>
    </w:p>
    <w:p w14:paraId="57CDBF2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5.3运输</w:t>
      </w:r>
    </w:p>
    <w:p w14:paraId="1340BF3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5.3.1卖方应自行选择适宜的运输工具及线路安排合同设备运输。主</w:t>
      </w:r>
      <w:r>
        <w:rPr>
          <w:rFonts w:hint="eastAsia" w:ascii="方正仿宋_GBK" w:hAnsi="方正仿宋_GBK" w:eastAsia="方正仿宋_GBK" w:cs="方正仿宋_GBK"/>
          <w:bCs/>
          <w:sz w:val="28"/>
          <w:szCs w:val="28"/>
          <w:lang w:val="en-US" w:eastAsia="zh-CN"/>
        </w:rPr>
        <w:t>户外气体绝缘封闭式组合电器</w:t>
      </w:r>
      <w:r>
        <w:rPr>
          <w:rFonts w:hint="eastAsia" w:ascii="方正仿宋_GBK" w:hAnsi="方正仿宋_GBK" w:eastAsia="方正仿宋_GBK" w:cs="方正仿宋_GBK"/>
          <w:bCs/>
          <w:sz w:val="28"/>
          <w:szCs w:val="28"/>
          <w:lang w:val="en-US"/>
        </w:rPr>
        <w:t>等大型设备，需在交货前自行提前踏勘运输路况，必要时根据进站道路情况，按要求提交专项运输方案，经买方审批后执行。</w:t>
      </w:r>
    </w:p>
    <w:p w14:paraId="12ADCD7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5.4交付</w:t>
      </w:r>
    </w:p>
    <w:p w14:paraId="476611A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5.4.1按照《合同协议书》第四条3款执行。</w:t>
      </w:r>
    </w:p>
    <w:p w14:paraId="6B84470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增加以下条款</w:t>
      </w:r>
    </w:p>
    <w:p w14:paraId="282F7FD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93" w:name="_Toc6578"/>
      <w:r>
        <w:rPr>
          <w:rFonts w:hint="eastAsia" w:ascii="方正仿宋_GBK" w:hAnsi="方正仿宋_GBK" w:eastAsia="方正仿宋_GBK" w:cs="方正仿宋_GBK"/>
          <w:bCs/>
          <w:sz w:val="28"/>
          <w:szCs w:val="28"/>
          <w:lang w:val="en-US"/>
        </w:rPr>
        <w:t>5.4.4 合同约定的全部设备运抵买方指定交货地点且验收合格前的一切安全风险和责任（包括但不限于人身安全、财产安全、质量安全等）全部由卖方承担。</w:t>
      </w:r>
    </w:p>
    <w:p w14:paraId="3616E27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94" w:name="_Toc4404"/>
      <w:r>
        <w:rPr>
          <w:rFonts w:hint="eastAsia" w:ascii="方正仿宋_GBK" w:hAnsi="方正仿宋_GBK" w:eastAsia="方正仿宋_GBK" w:cs="方正仿宋_GBK"/>
          <w:bCs/>
          <w:sz w:val="28"/>
          <w:szCs w:val="28"/>
          <w:lang w:val="en-US"/>
        </w:rPr>
        <w:t>6、开箱检验、安装、调试、考核、验收</w:t>
      </w:r>
      <w:bookmarkEnd w:id="693"/>
      <w:bookmarkEnd w:id="694"/>
    </w:p>
    <w:p w14:paraId="406E90A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6.1  开箱检验</w:t>
      </w:r>
    </w:p>
    <w:p w14:paraId="3BA479F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6.1.2 开箱检验在交货地点进行，买方有权现场抽样并委托具有相应资质的第三方检测机构进行检验。</w:t>
      </w:r>
    </w:p>
    <w:p w14:paraId="2CF6CC4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6.1.6 开箱检验不在合同设备交付时进行，由买方指定施工单位负责按照交货时候外包装原样对合同设备进行妥善保管，因施工单位保管不善导致损坏或灭失，施工单位承担相应损坏灭失的赔付。在开箱检验时如果合同设备外包装与交货时一致，则开箱检验中发现的合同设备的短缺、损坏或其它与合同约定不符的情形，由卖方</w:t>
      </w:r>
      <w:r>
        <w:rPr>
          <w:rFonts w:hint="eastAsia" w:ascii="方正仿宋_GBK" w:hAnsi="方正仿宋_GBK" w:eastAsia="方正仿宋_GBK" w:cs="方正仿宋_GBK"/>
          <w:bCs/>
          <w:sz w:val="28"/>
          <w:szCs w:val="28"/>
          <w:lang w:val="en-US" w:eastAsia="zh-CN"/>
        </w:rPr>
        <w:t>在双方认可的期限内</w:t>
      </w:r>
      <w:r>
        <w:rPr>
          <w:rFonts w:hint="eastAsia" w:ascii="方正仿宋_GBK" w:hAnsi="方正仿宋_GBK" w:eastAsia="方正仿宋_GBK" w:cs="方正仿宋_GBK"/>
          <w:bCs/>
          <w:sz w:val="28"/>
          <w:szCs w:val="28"/>
          <w:lang w:val="en-US"/>
        </w:rPr>
        <w:t>无偿补齐、更换及采取其他补救措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14:paraId="0E5BAA2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6.1.7 合同设备需开展第三方检测的，第三方检测检验结果对买卖双方均有约束力。若检测合格，由买方承担第三方检测相关费用；若检测不合格，检测相关费用由卖方承担，同时，买方有权要求卖方退换设备或向第三方采购，采购差价等损失概由卖方承担。</w:t>
      </w:r>
    </w:p>
    <w:p w14:paraId="5DE9690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6.2 安装、调试</w:t>
      </w:r>
    </w:p>
    <w:p w14:paraId="7BE5BE6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6.2.1买方或买方安排第三方负责合同设备的安装、调试工作需卖方提供技术服务的，卖方技术服务完成后应签署技术服务完成回执单。</w:t>
      </w:r>
    </w:p>
    <w:p w14:paraId="115B8CB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在安装、调试过程中，如由于买方或买方安排的第三方未按照卖方现场服务人员的指导导致安装、调试不成功或出现合同设备损坏，买方应自行承担责任。如在买方或买方安排的第三方按照卖方现场服务人员的指导进行安装、调试的情况下，出现安装、调试不成功或造成合同设备损坏，卖方应承担责任。卖方负责安装、调试的，安装调试不成功或出现合同设备损坏，卖方应承担责任。</w:t>
      </w:r>
    </w:p>
    <w:p w14:paraId="4B74AA3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增加以下条款：</w:t>
      </w:r>
    </w:p>
    <w:p w14:paraId="78ACCC1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6.2.4 卖方现场安装、调试人员应具备相应的技术能力和技术资质（或资格）证明，买方认为不满足要求的可要求卖方限期更换。</w:t>
      </w:r>
    </w:p>
    <w:p w14:paraId="004F25D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6.3考核</w:t>
      </w:r>
    </w:p>
    <w:p w14:paraId="22A3D71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6.3.2 合同设备质量标准必须达到《技术协议书》、招标文件的规定和要求方可视为合格，若因卖方原因合同设备在考核中未能达到合同约定的技术性能考核指标，则卖方应在双方同意的期限内采取措施消除合同设备中存在的缺陷，并在缺陷消除以后，尽快进行再次考核。</w:t>
      </w:r>
    </w:p>
    <w:p w14:paraId="6E521EC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6.3.3 由于卖方原因，考核未能达到合同约定的技术性能考核指标，则买卖双方应就合同的后续履行进行协商，协商不成的，买方有权解除合同。同时，因此造成的损失概由卖方承担。</w:t>
      </w:r>
    </w:p>
    <w:p w14:paraId="1F06FDB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95" w:name="_Toc31609"/>
      <w:r>
        <w:rPr>
          <w:rFonts w:hint="eastAsia" w:ascii="方正仿宋_GBK" w:hAnsi="方正仿宋_GBK" w:eastAsia="方正仿宋_GBK" w:cs="方正仿宋_GBK"/>
          <w:bCs/>
          <w:sz w:val="28"/>
          <w:szCs w:val="28"/>
          <w:lang w:val="en-US"/>
        </w:rPr>
        <w:t>6.4 验收</w:t>
      </w:r>
      <w:bookmarkEnd w:id="695"/>
    </w:p>
    <w:p w14:paraId="0862977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增加以下条款：</w:t>
      </w:r>
    </w:p>
    <w:p w14:paraId="096DC04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6.4.6 合同设备未验收合格的，设备损坏灭失风险由卖方承担，买方有权要求卖方在规定期限内将不合格设备运离买方现场，逾期视为卖方放弃设备所有权，买方有权自行处置。</w:t>
      </w:r>
    </w:p>
    <w:p w14:paraId="062E727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96" w:name="_Toc32201"/>
      <w:r>
        <w:rPr>
          <w:rFonts w:hint="eastAsia" w:ascii="方正仿宋_GBK" w:hAnsi="方正仿宋_GBK" w:eastAsia="方正仿宋_GBK" w:cs="方正仿宋_GBK"/>
          <w:bCs/>
          <w:sz w:val="28"/>
          <w:szCs w:val="28"/>
          <w:lang w:val="en-US"/>
        </w:rPr>
        <w:t>7、技术服务</w:t>
      </w:r>
      <w:bookmarkEnd w:id="696"/>
    </w:p>
    <w:p w14:paraId="7CA572C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增加以下条款</w:t>
      </w:r>
    </w:p>
    <w:p w14:paraId="5A7D9A1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7.5 卖方在接到买方通知后3天内提供技术服务（包含现场服务、电话服务、函件或其它方式），技术人员的数量应满足买方进度要求，卖方技术服务完成后应签署技术服务完成回执单。</w:t>
      </w:r>
    </w:p>
    <w:p w14:paraId="5BF5063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97" w:name="_Toc3137"/>
      <w:r>
        <w:rPr>
          <w:rFonts w:hint="eastAsia" w:ascii="方正仿宋_GBK" w:hAnsi="方正仿宋_GBK" w:eastAsia="方正仿宋_GBK" w:cs="方正仿宋_GBK"/>
          <w:bCs/>
          <w:sz w:val="28"/>
          <w:szCs w:val="28"/>
          <w:lang w:val="en-US"/>
        </w:rPr>
        <w:t>8、质量保证期</w:t>
      </w:r>
      <w:bookmarkEnd w:id="697"/>
    </w:p>
    <w:p w14:paraId="67281577">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8.1工程投运移交之日起</w:t>
      </w:r>
      <w:r>
        <w:rPr>
          <w:rFonts w:hint="eastAsia" w:ascii="方正仿宋_GBK" w:hAnsi="方正仿宋_GBK" w:eastAsia="方正仿宋_GBK" w:cs="方正仿宋_GBK"/>
          <w:bCs/>
          <w:sz w:val="28"/>
          <w:szCs w:val="28"/>
          <w:lang w:val="en-US" w:eastAsia="zh-CN"/>
        </w:rPr>
        <w:t>12</w:t>
      </w:r>
      <w:r>
        <w:rPr>
          <w:rFonts w:hint="eastAsia" w:ascii="方正仿宋_GBK" w:hAnsi="方正仿宋_GBK" w:eastAsia="方正仿宋_GBK" w:cs="方正仿宋_GBK"/>
          <w:bCs/>
          <w:sz w:val="28"/>
          <w:szCs w:val="28"/>
          <w:lang w:val="en-US"/>
        </w:rPr>
        <w:t>个月。</w:t>
      </w:r>
    </w:p>
    <w:p w14:paraId="1DD05C7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698" w:name="_Toc25446"/>
      <w:bookmarkStart w:id="699" w:name="_Toc15700"/>
      <w:r>
        <w:rPr>
          <w:rFonts w:hint="eastAsia" w:ascii="方正仿宋_GBK" w:hAnsi="方正仿宋_GBK" w:eastAsia="方正仿宋_GBK" w:cs="方正仿宋_GBK"/>
          <w:bCs/>
          <w:sz w:val="28"/>
          <w:szCs w:val="28"/>
          <w:lang w:val="en-US"/>
        </w:rPr>
        <w:t>10、履约保证（</w:t>
      </w:r>
      <w:bookmarkEnd w:id="698"/>
      <w:bookmarkEnd w:id="699"/>
      <w:r>
        <w:rPr>
          <w:rFonts w:hint="eastAsia" w:ascii="方正仿宋_GBK" w:hAnsi="方正仿宋_GBK" w:eastAsia="方正仿宋_GBK" w:cs="方正仿宋_GBK"/>
          <w:bCs/>
          <w:sz w:val="28"/>
          <w:szCs w:val="28"/>
          <w:lang w:val="en-US"/>
        </w:rPr>
        <w:t>保证金或保函）</w:t>
      </w:r>
    </w:p>
    <w:p w14:paraId="2C6AA57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bookmarkStart w:id="700" w:name="_Toc23374"/>
      <w:bookmarkStart w:id="701" w:name="_Toc6333"/>
      <w:bookmarkStart w:id="702" w:name="_Toc6487"/>
      <w:r>
        <w:rPr>
          <w:rFonts w:hint="eastAsia" w:ascii="方正仿宋_GBK" w:hAnsi="方正仿宋_GBK" w:eastAsia="方正仿宋_GBK" w:cs="方正仿宋_GBK"/>
          <w:bCs/>
          <w:sz w:val="28"/>
          <w:szCs w:val="28"/>
          <w:lang w:val="en-US"/>
        </w:rPr>
        <w:t>10.1.1</w:t>
      </w:r>
      <w:r>
        <w:rPr>
          <w:rFonts w:hint="eastAsia" w:ascii="方正仿宋_GBK" w:hAnsi="方正仿宋_GBK" w:eastAsia="方正仿宋_GBK" w:cs="方正仿宋_GBK"/>
          <w:bCs/>
          <w:sz w:val="28"/>
          <w:szCs w:val="28"/>
        </w:rPr>
        <w:t>履约担保的形式：</w:t>
      </w:r>
      <w:r>
        <w:rPr>
          <w:rFonts w:hint="eastAsia" w:ascii="方正仿宋_GBK" w:hAnsi="方正仿宋_GBK" w:eastAsia="方正仿宋_GBK" w:cs="方正仿宋_GBK"/>
          <w:bCs/>
          <w:sz w:val="28"/>
          <w:szCs w:val="28"/>
          <w:u w:val="single"/>
          <w:lang w:val="en-US" w:eastAsia="zh-CN"/>
        </w:rPr>
        <w:t xml:space="preserve">      </w:t>
      </w:r>
      <w:r>
        <w:rPr>
          <w:rFonts w:hint="eastAsia" w:ascii="方正仿宋_GBK" w:hAnsi="方正仿宋_GBK" w:eastAsia="方正仿宋_GBK" w:cs="方正仿宋_GBK"/>
          <w:bCs/>
          <w:sz w:val="28"/>
          <w:szCs w:val="28"/>
        </w:rPr>
        <w:t>。</w:t>
      </w:r>
    </w:p>
    <w:p w14:paraId="057FF89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10.1.2</w:t>
      </w:r>
      <w:r>
        <w:rPr>
          <w:rFonts w:hint="eastAsia" w:ascii="方正仿宋_GBK" w:hAnsi="方正仿宋_GBK" w:eastAsia="方正仿宋_GBK" w:cs="方正仿宋_GBK"/>
          <w:bCs/>
          <w:sz w:val="28"/>
          <w:szCs w:val="28"/>
        </w:rPr>
        <w:t>履约担保的金额：中标合同金额的</w:t>
      </w:r>
      <w:r>
        <w:rPr>
          <w:rFonts w:hint="eastAsia" w:ascii="方正仿宋_GBK" w:hAnsi="方正仿宋_GBK" w:eastAsia="方正仿宋_GBK" w:cs="方正仿宋_GBK"/>
          <w:bCs/>
          <w:sz w:val="28"/>
          <w:szCs w:val="28"/>
          <w:lang w:val="en-US" w:eastAsia="zh-CN"/>
        </w:rPr>
        <w:t>5</w:t>
      </w:r>
      <w:r>
        <w:rPr>
          <w:rFonts w:hint="eastAsia" w:ascii="方正仿宋_GBK" w:hAnsi="方正仿宋_GBK" w:eastAsia="方正仿宋_GBK" w:cs="方正仿宋_GBK"/>
          <w:bCs/>
          <w:sz w:val="28"/>
          <w:szCs w:val="28"/>
        </w:rPr>
        <w:t xml:space="preserve">% </w:t>
      </w:r>
      <w:r>
        <w:rPr>
          <w:rFonts w:hint="eastAsia" w:ascii="方正仿宋_GBK" w:hAnsi="方正仿宋_GBK" w:eastAsia="方正仿宋_GBK" w:cs="方正仿宋_GBK"/>
          <w:bCs/>
          <w:sz w:val="28"/>
          <w:szCs w:val="28"/>
          <w:lang w:val="en-US"/>
        </w:rPr>
        <w:t>，即</w:t>
      </w:r>
    </w:p>
    <w:p w14:paraId="54BE7F8A">
      <w:pPr>
        <w:pageBreakBefore w:val="0"/>
        <w:kinsoku/>
        <w:wordWrap/>
        <w:overflowPunct/>
        <w:topLinePunct w:val="0"/>
        <w:autoSpaceDE/>
        <w:autoSpaceDN/>
        <w:bidi w:val="0"/>
        <w:adjustRightInd w:val="0"/>
        <w:spacing w:line="400" w:lineRule="exact"/>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u w:val="single"/>
          <w:lang w:val="en-US" w:eastAsia="zh-CN"/>
        </w:rPr>
        <w:t xml:space="preserve">            </w:t>
      </w:r>
      <w:r>
        <w:rPr>
          <w:rFonts w:hint="eastAsia" w:ascii="方正仿宋_GBK" w:hAnsi="方正仿宋_GBK" w:eastAsia="方正仿宋_GBK" w:cs="方正仿宋_GBK"/>
          <w:bCs/>
          <w:sz w:val="28"/>
          <w:szCs w:val="28"/>
          <w:lang w:val="en-US"/>
        </w:rPr>
        <w:t>元</w:t>
      </w:r>
      <w:r>
        <w:rPr>
          <w:rFonts w:hint="eastAsia" w:ascii="方正仿宋_GBK" w:hAnsi="方正仿宋_GBK" w:eastAsia="方正仿宋_GBK" w:cs="方正仿宋_GBK"/>
          <w:bCs/>
          <w:sz w:val="28"/>
          <w:szCs w:val="28"/>
        </w:rPr>
        <w:t>；</w:t>
      </w:r>
    </w:p>
    <w:p w14:paraId="071799F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10.1.3履约担保的提交时间：</w:t>
      </w:r>
      <w:r>
        <w:rPr>
          <w:rFonts w:hint="eastAsia" w:ascii="方正仿宋_GBK" w:hAnsi="方正仿宋_GBK" w:eastAsia="方正仿宋_GBK" w:cs="方正仿宋_GBK"/>
          <w:bCs/>
          <w:sz w:val="28"/>
          <w:szCs w:val="28"/>
          <w:lang w:val="en-US" w:eastAsia="zh-CN"/>
        </w:rPr>
        <w:t>收到成交通知书后30日历天内提交</w:t>
      </w:r>
      <w:r>
        <w:rPr>
          <w:rFonts w:hint="eastAsia" w:ascii="方正仿宋_GBK" w:hAnsi="方正仿宋_GBK" w:eastAsia="方正仿宋_GBK" w:cs="方正仿宋_GBK"/>
          <w:bCs/>
          <w:sz w:val="28"/>
          <w:szCs w:val="28"/>
        </w:rPr>
        <w:t>。</w:t>
      </w:r>
    </w:p>
    <w:p w14:paraId="24914A6B">
      <w:pPr>
        <w:pageBreakBefore w:val="0"/>
        <w:kinsoku/>
        <w:wordWrap/>
        <w:overflowPunct/>
        <w:topLinePunct w:val="0"/>
        <w:autoSpaceDE/>
        <w:autoSpaceDN/>
        <w:bidi w:val="0"/>
        <w:adjustRightInd w:val="0"/>
        <w:spacing w:line="400" w:lineRule="exact"/>
        <w:ind w:firstLine="560" w:firstLineChars="200"/>
        <w:textAlignment w:val="auto"/>
        <w:rPr>
          <w:rFonts w:hint="default" w:ascii="方正仿宋_GBK" w:hAnsi="方正仿宋_GBK" w:eastAsia="方正仿宋_GBK" w:cs="方正仿宋_GBK"/>
          <w:bCs/>
          <w:sz w:val="28"/>
          <w:szCs w:val="28"/>
          <w:lang w:val="en-US" w:eastAsia="zh-CN"/>
        </w:rPr>
      </w:pPr>
      <w:r>
        <w:rPr>
          <w:rFonts w:hint="eastAsia" w:ascii="方正仿宋_GBK" w:hAnsi="方正仿宋_GBK" w:eastAsia="方正仿宋_GBK" w:cs="方正仿宋_GBK"/>
          <w:bCs/>
          <w:sz w:val="28"/>
          <w:szCs w:val="28"/>
          <w:lang w:val="en-US"/>
        </w:rPr>
        <w:t>10.1.4履约担保的期限：</w:t>
      </w:r>
      <w:r>
        <w:rPr>
          <w:rFonts w:hint="eastAsia" w:ascii="方正仿宋_GBK" w:hAnsi="方正仿宋_GBK" w:eastAsia="方正仿宋_GBK" w:cs="方正仿宋_GBK"/>
          <w:bCs/>
          <w:sz w:val="28"/>
          <w:szCs w:val="28"/>
          <w:lang w:val="en-US" w:eastAsia="zh-CN"/>
        </w:rPr>
        <w:t>1年。</w:t>
      </w:r>
    </w:p>
    <w:p w14:paraId="1C1BCB9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10.</w:t>
      </w:r>
      <w:r>
        <w:rPr>
          <w:rFonts w:hint="eastAsia" w:ascii="方正仿宋_GBK" w:hAnsi="方正仿宋_GBK" w:eastAsia="方正仿宋_GBK" w:cs="方正仿宋_GBK"/>
          <w:bCs/>
          <w:sz w:val="28"/>
          <w:szCs w:val="28"/>
          <w:lang w:val="en-US"/>
        </w:rPr>
        <w:t>2</w:t>
      </w:r>
      <w:r>
        <w:rPr>
          <w:rFonts w:hint="eastAsia" w:ascii="方正仿宋_GBK" w:hAnsi="方正仿宋_GBK" w:eastAsia="方正仿宋_GBK" w:cs="方正仿宋_GBK"/>
          <w:bCs/>
          <w:sz w:val="28"/>
          <w:szCs w:val="28"/>
        </w:rPr>
        <w:t xml:space="preserve"> 履约保函或保证金退还：</w:t>
      </w:r>
      <w:r>
        <w:rPr>
          <w:rFonts w:hint="eastAsia" w:ascii="方正仿宋_GBK" w:hAnsi="方正仿宋_GBK" w:eastAsia="方正仿宋_GBK" w:cs="方正仿宋_GBK"/>
          <w:bCs/>
          <w:sz w:val="28"/>
          <w:szCs w:val="28"/>
          <w:lang w:val="en-US"/>
        </w:rPr>
        <w:t>满足以下任一条款均可退还。</w:t>
      </w:r>
    </w:p>
    <w:p w14:paraId="152B03E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10.</w:t>
      </w:r>
      <w:r>
        <w:rPr>
          <w:rFonts w:hint="eastAsia" w:ascii="方正仿宋_GBK" w:hAnsi="方正仿宋_GBK" w:eastAsia="方正仿宋_GBK" w:cs="方正仿宋_GBK"/>
          <w:bCs/>
          <w:sz w:val="28"/>
          <w:szCs w:val="28"/>
          <w:lang w:val="en-US"/>
        </w:rPr>
        <w:t>2</w:t>
      </w:r>
      <w:r>
        <w:rPr>
          <w:rFonts w:hint="eastAsia" w:ascii="方正仿宋_GBK" w:hAnsi="方正仿宋_GBK" w:eastAsia="方正仿宋_GBK" w:cs="方正仿宋_GBK"/>
          <w:bCs/>
          <w:sz w:val="28"/>
          <w:szCs w:val="28"/>
        </w:rPr>
        <w:t>.1 合同全部设备到货验收合格后（以到货验收单签署日期为准），卖方提交履约保证退还手续经买方审核无误后</w:t>
      </w:r>
      <w:r>
        <w:rPr>
          <w:rFonts w:hint="eastAsia" w:ascii="方正仿宋_GBK" w:hAnsi="方正仿宋_GBK" w:eastAsia="方正仿宋_GBK" w:cs="方正仿宋_GBK"/>
          <w:bCs/>
          <w:sz w:val="28"/>
          <w:szCs w:val="28"/>
          <w:lang w:val="en-US"/>
        </w:rPr>
        <w:t>30日历天</w:t>
      </w:r>
      <w:r>
        <w:rPr>
          <w:rFonts w:hint="eastAsia" w:ascii="方正仿宋_GBK" w:hAnsi="方正仿宋_GBK" w:eastAsia="方正仿宋_GBK" w:cs="方正仿宋_GBK"/>
          <w:bCs/>
          <w:sz w:val="28"/>
          <w:szCs w:val="28"/>
        </w:rPr>
        <w:t>内无息退还履约保函或保证金。</w:t>
      </w:r>
    </w:p>
    <w:p w14:paraId="72F5D3C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10.</w:t>
      </w:r>
      <w:r>
        <w:rPr>
          <w:rFonts w:hint="eastAsia" w:ascii="方正仿宋_GBK" w:hAnsi="方正仿宋_GBK" w:eastAsia="方正仿宋_GBK" w:cs="方正仿宋_GBK"/>
          <w:bCs/>
          <w:sz w:val="28"/>
          <w:szCs w:val="28"/>
          <w:lang w:val="en-US"/>
        </w:rPr>
        <w:t>2</w:t>
      </w:r>
      <w:r>
        <w:rPr>
          <w:rFonts w:hint="eastAsia" w:ascii="方正仿宋_GBK" w:hAnsi="方正仿宋_GBK" w:eastAsia="方正仿宋_GBK" w:cs="方正仿宋_GBK"/>
          <w:bCs/>
          <w:sz w:val="28"/>
          <w:szCs w:val="28"/>
        </w:rPr>
        <w:t>.2 非卖方原因导致部分合同设备无法交货，由卖方提出申请并作出继续供货承诺，经买方审批同意后，卖方提交履约保证退还手续经买方审核无误后</w:t>
      </w:r>
      <w:r>
        <w:rPr>
          <w:rFonts w:hint="eastAsia" w:ascii="方正仿宋_GBK" w:hAnsi="方正仿宋_GBK" w:eastAsia="方正仿宋_GBK" w:cs="方正仿宋_GBK"/>
          <w:bCs/>
          <w:sz w:val="28"/>
          <w:szCs w:val="28"/>
          <w:lang w:val="en-US"/>
        </w:rPr>
        <w:t>30日历天</w:t>
      </w:r>
      <w:r>
        <w:rPr>
          <w:rFonts w:hint="eastAsia" w:ascii="方正仿宋_GBK" w:hAnsi="方正仿宋_GBK" w:eastAsia="方正仿宋_GBK" w:cs="方正仿宋_GBK"/>
          <w:bCs/>
          <w:sz w:val="28"/>
          <w:szCs w:val="28"/>
        </w:rPr>
        <w:t>内无息退还履约保函或保证金。</w:t>
      </w:r>
    </w:p>
    <w:p w14:paraId="7BA7C25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10.</w:t>
      </w:r>
      <w:r>
        <w:rPr>
          <w:rFonts w:hint="eastAsia" w:ascii="方正仿宋_GBK" w:hAnsi="方正仿宋_GBK" w:eastAsia="方正仿宋_GBK" w:cs="方正仿宋_GBK"/>
          <w:bCs/>
          <w:sz w:val="28"/>
          <w:szCs w:val="28"/>
          <w:lang w:val="en-US"/>
        </w:rPr>
        <w:t>3</w:t>
      </w:r>
      <w:r>
        <w:rPr>
          <w:rFonts w:hint="eastAsia" w:ascii="方正仿宋_GBK" w:hAnsi="方正仿宋_GBK" w:eastAsia="方正仿宋_GBK" w:cs="方正仿宋_GBK"/>
          <w:bCs/>
          <w:sz w:val="28"/>
          <w:szCs w:val="28"/>
        </w:rPr>
        <w:t xml:space="preserve"> 卖方提供的履约保函到期失效且合同全部货物到货验收合格，卖方未在到期失效后1年内向买方提交退还手续，买方有权自行销毁履约保函。</w:t>
      </w:r>
    </w:p>
    <w:p w14:paraId="2F9147C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11、保证</w:t>
      </w:r>
      <w:bookmarkEnd w:id="700"/>
      <w:bookmarkEnd w:id="701"/>
      <w:bookmarkEnd w:id="702"/>
    </w:p>
    <w:p w14:paraId="1091786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11.5卖方保证按期向买方或买方指定的设计单位提交《技术协议书》、图纸等技术图文资料，卖方所提供的技术图文资料完整、清晰、准确，符合合同约定且能够满足合同设备的安装、调试、考核、操作以及维修和保养等需要。</w:t>
      </w:r>
    </w:p>
    <w:p w14:paraId="2248DE1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703" w:name="_Toc17636"/>
      <w:bookmarkStart w:id="704" w:name="_Toc5254"/>
      <w:bookmarkStart w:id="705" w:name="_Toc16662"/>
      <w:r>
        <w:rPr>
          <w:rFonts w:hint="eastAsia" w:ascii="方正仿宋_GBK" w:hAnsi="方正仿宋_GBK" w:eastAsia="方正仿宋_GBK" w:cs="方正仿宋_GBK"/>
          <w:bCs/>
          <w:sz w:val="28"/>
          <w:szCs w:val="28"/>
          <w:lang w:val="en-US"/>
        </w:rPr>
        <w:t>14、违约责任</w:t>
      </w:r>
      <w:bookmarkEnd w:id="703"/>
      <w:bookmarkEnd w:id="704"/>
    </w:p>
    <w:p w14:paraId="2E4DEC0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14.2 卖方未能按时交付合同设备（包括迟延交付技术图文资料但足以导致合同设备安装、调试、考核、验收等工作推迟的），造成的停电、窝工等其它损失由卖方承担的同时应向买方支付迟延交付违约金，迟延交付违约金的支付不能免除卖方继续交付相关合同设备的义务。迟延交付违约金计算方法如下：</w:t>
      </w:r>
    </w:p>
    <w:p w14:paraId="13F827B3">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14.2.1迟交l周,违约金金额为迟交货物金额的3%；</w:t>
      </w:r>
    </w:p>
    <w:p w14:paraId="2358863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14.2.2迟交2周,违约金金额为迟交货物金额的6%；</w:t>
      </w:r>
    </w:p>
    <w:p w14:paraId="509A438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14.2.3迟交3周, 违约金金额为迟交货物金额的10%；不满一周按一周计算。</w:t>
      </w:r>
    </w:p>
    <w:p w14:paraId="0945C49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14.2.4卖方迟延交货给买方造成损失，卖方应进行赔偿。</w:t>
      </w:r>
    </w:p>
    <w:p w14:paraId="28B0687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迟交合同设备对工程工期有重大影响的，买方有权单方面通知卖方取消该批次供货，卖方应向买方支付合同含税总额4%的违约金，并可以依其认为适当的条件和方法向第三方购买可替代的合同设备，由此发生的差价、增加的费用等损失由卖方承担。买方部分终止合同的，卖方应继续执行合同中未终止的部分。</w:t>
      </w:r>
    </w:p>
    <w:p w14:paraId="3799B22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14.3 买方应在卖方货款具备支付条件并提供合格付款手续后按合同约定的付款方式付款，如买方未能按约定付款，卖方有权向买方书面申请应付款总金额的1‰/天的违约金。</w:t>
      </w:r>
    </w:p>
    <w:p w14:paraId="12D958CF">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增加以下条款</w:t>
      </w:r>
    </w:p>
    <w:p w14:paraId="7E11338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14.4  货到现场存在质量缺陷、非全新材料或擅自变更设备品牌和规格型号或与技术协议、合同不符的，买方视该情形可能对工程项目造成的影响程度，有权单方在人民币500元至20000元幅度内决定向卖方收取违约金，具体金额和缴纳期限以买方通知为准，同时，</w:t>
      </w:r>
      <w:bookmarkStart w:id="706" w:name="_Hlk39864442"/>
      <w:r>
        <w:rPr>
          <w:rFonts w:hint="eastAsia" w:ascii="方正仿宋_GBK" w:hAnsi="方正仿宋_GBK" w:eastAsia="方正仿宋_GBK" w:cs="方正仿宋_GBK"/>
          <w:bCs/>
          <w:sz w:val="28"/>
          <w:szCs w:val="28"/>
          <w:lang w:val="en-US"/>
        </w:rPr>
        <w:t>买方有权决定直接单方解除该批货物的买卖合同</w:t>
      </w:r>
      <w:bookmarkEnd w:id="706"/>
      <w:r>
        <w:rPr>
          <w:rFonts w:hint="eastAsia" w:ascii="方正仿宋_GBK" w:hAnsi="方正仿宋_GBK" w:eastAsia="方正仿宋_GBK" w:cs="方正仿宋_GBK"/>
          <w:bCs/>
          <w:sz w:val="28"/>
          <w:szCs w:val="28"/>
          <w:lang w:val="en-US"/>
        </w:rPr>
        <w:t>或责令卖方限期整改，如整改逾期，则从买方规定完成整改之日起至整改合格之日止，卖方按每天3000元向买方支付违约金，同时还应承担由此给买方造成的窝工、停电损失、工期延误等相关损失。</w:t>
      </w:r>
    </w:p>
    <w:p w14:paraId="24B5E3E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14.5 卖方未按《专用合同条款》第11.5条规定交付技术图文资料的，卖方向买方按1000元/天支付违约金。</w:t>
      </w:r>
    </w:p>
    <w:p w14:paraId="42660E55">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14.6 因合同变更需退还发票或返还超付价款的，卖方应在合同变更30日内与买方配合办理红字发票手续或超付退款手续。因卖方未在买方规定的时间内办理或无理由拒绝办理红字发票手续、超付退款手续而造成结算滞后的，卖方应按对应发票金额×0.05%×逾期交票天数，或者超付退款金额×0.5‰×逾期退款天数向买方支付违约金。</w:t>
      </w:r>
    </w:p>
    <w:p w14:paraId="18A2843C">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14.7 卖方技术服务、安装或调试人员未按买方要求按期到达或未按期完成相应工作的，卖方按2000元/天向买方支付违约金，同时还应承担由此给买方造成的窝工、工期延误等其他相关损失。</w:t>
      </w:r>
    </w:p>
    <w:p w14:paraId="4707231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14.8 卖方缺席工作交流、合同谈判、供货协调等会议的，卖方向买方按1000元/次支付违约金。</w:t>
      </w:r>
    </w:p>
    <w:p w14:paraId="58500DB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14.9 卖方货到现场验收合格后，未在买方规定的时间内开具增值税全额开票的，按500元/天支付逾期回复违约金。</w:t>
      </w:r>
    </w:p>
    <w:p w14:paraId="271F796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14.10 买卖双方发出的《通知》、《工作联系函》等文件要求按期回复的，逾期按500元/天向对方支付违约金。</w:t>
      </w:r>
    </w:p>
    <w:p w14:paraId="0DC341D4">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14.11 卖方支付的违约金低于给买方造成的损失的,应就差额部分向买方进行赔偿。</w:t>
      </w:r>
    </w:p>
    <w:p w14:paraId="7F7A407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14.12 卖方未缴纳违约金买方有权单方面拒绝支付货款。</w:t>
      </w:r>
    </w:p>
    <w:p w14:paraId="175250EA">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14.13 卖方按合同或买方通知完成备货之日起，如因买方原因不能收货的，卖方免费存储3个月。否则，每逾期一个月，卖方开具全额仓储费发票经买方审核无误后，买方应按合同含税总金额的0.3%/月（最高单月不超过5000元）向卖方支付仓储费。</w:t>
      </w:r>
    </w:p>
    <w:p w14:paraId="43E78908">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15、合同的解除</w:t>
      </w:r>
      <w:bookmarkEnd w:id="705"/>
    </w:p>
    <w:p w14:paraId="621BFD36">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卖方明确表示无法供货的解除合同；买方有理由认为卖方无法供货的（包括但不限于卖方迟延交货3天，买方认为对工程建设有重大影响的），买方有权单方面全部或部分解除合同。全部或部分解除合同后，卖方应退还买方已支付的相应合同价款。</w:t>
      </w:r>
    </w:p>
    <w:p w14:paraId="15787D5E">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2）卖方所供设备的产品质量或安装调试结果未到达双方签订的《技术协议书》任一条款约定，买方认为对工程建设有重大影响的，卖方除按照本合同《专用合同条款》第14条向买方承担违约责任外，买方有权单方面通知卖方解除合同，并自行决定向第三方采购，保留对采购差价及其他损失向卖方索赔的权利。</w:t>
      </w:r>
    </w:p>
    <w:p w14:paraId="63836B7B">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707" w:name="_Toc282"/>
      <w:r>
        <w:rPr>
          <w:rFonts w:hint="eastAsia" w:ascii="方正仿宋_GBK" w:hAnsi="方正仿宋_GBK" w:eastAsia="方正仿宋_GBK" w:cs="方正仿宋_GBK"/>
          <w:bCs/>
          <w:sz w:val="28"/>
          <w:szCs w:val="28"/>
          <w:lang w:val="en-US"/>
        </w:rPr>
        <w:t>16、不可抗力</w:t>
      </w:r>
      <w:bookmarkEnd w:id="707"/>
    </w:p>
    <w:p w14:paraId="42798221">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16.3双方当事人应在不可抗力事件结束或其影响消除后立即继续履行其合同义务，合同期限也应相应顺延。如不可抗力对工期等造成较大影响，则任何一方当事人均有权以书面通知解除合同。</w:t>
      </w:r>
    </w:p>
    <w:p w14:paraId="490F15E9">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bookmarkStart w:id="708" w:name="_Toc2436"/>
      <w:bookmarkStart w:id="709" w:name="_Toc31489"/>
      <w:r>
        <w:rPr>
          <w:rFonts w:hint="eastAsia" w:ascii="方正仿宋_GBK" w:hAnsi="方正仿宋_GBK" w:eastAsia="方正仿宋_GBK" w:cs="方正仿宋_GBK"/>
          <w:bCs/>
          <w:sz w:val="28"/>
          <w:szCs w:val="28"/>
          <w:lang w:val="en-US"/>
        </w:rPr>
        <w:t>17、争议的解决</w:t>
      </w:r>
      <w:bookmarkEnd w:id="708"/>
      <w:bookmarkEnd w:id="709"/>
    </w:p>
    <w:p w14:paraId="3DB92510">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rPr>
      </w:pPr>
      <w:r>
        <w:rPr>
          <w:rFonts w:hint="eastAsia" w:ascii="方正仿宋_GBK" w:hAnsi="方正仿宋_GBK" w:eastAsia="方正仿宋_GBK" w:cs="方正仿宋_GBK"/>
          <w:bCs/>
          <w:sz w:val="28"/>
          <w:szCs w:val="28"/>
          <w:lang w:val="en-US"/>
        </w:rPr>
        <w:t>因本合同引起的或与本合同有关的任何争议，双方通过友好协商解决。友好协商解决不成的，向买方所在地有管辖权的人民法院提起诉讼，管辖法院：重庆市涪陵区人民法院。</w:t>
      </w:r>
    </w:p>
    <w:p w14:paraId="1CEB8F32">
      <w:pPr>
        <w:pageBreakBefore w:val="0"/>
        <w:kinsoku/>
        <w:wordWrap/>
        <w:overflowPunct/>
        <w:topLinePunct w:val="0"/>
        <w:autoSpaceDE/>
        <w:autoSpaceDN/>
        <w:bidi w:val="0"/>
        <w:adjustRightInd w:val="0"/>
        <w:spacing w:line="400" w:lineRule="exact"/>
        <w:ind w:firstLine="560" w:firstLineChars="200"/>
        <w:textAlignment w:val="auto"/>
        <w:rPr>
          <w:rFonts w:hint="eastAsia" w:ascii="方正仿宋_GBK" w:hAnsi="方正仿宋_GBK" w:eastAsia="方正仿宋_GBK" w:cs="方正仿宋_GBK"/>
          <w:bCs/>
          <w:sz w:val="28"/>
          <w:szCs w:val="28"/>
          <w:lang w:val="en-US" w:eastAsia="zh-CN"/>
        </w:rPr>
      </w:pPr>
      <w:r>
        <w:rPr>
          <w:rFonts w:hint="eastAsia" w:ascii="方正仿宋_GBK" w:hAnsi="方正仿宋_GBK" w:eastAsia="方正仿宋_GBK" w:cs="方正仿宋_GBK"/>
          <w:bCs/>
          <w:sz w:val="28"/>
          <w:szCs w:val="28"/>
          <w:lang w:val="en-US" w:eastAsia="zh-CN"/>
        </w:rPr>
        <w:t>（此后无正文，合同签署盖章页附后）</w:t>
      </w:r>
    </w:p>
    <w:p w14:paraId="01B85623">
      <w:pPr>
        <w:pStyle w:val="99"/>
        <w:keepNext w:val="0"/>
        <w:keepLines w:val="0"/>
        <w:pageBreakBefore w:val="0"/>
        <w:widowControl w:val="0"/>
        <w:kinsoku/>
        <w:wordWrap/>
        <w:overflowPunct/>
        <w:topLinePunct w:val="0"/>
        <w:autoSpaceDE/>
        <w:autoSpaceDN/>
        <w:bidi w:val="0"/>
        <w:snapToGrid/>
        <w:spacing w:line="390" w:lineRule="exact"/>
        <w:ind w:firstLine="560"/>
        <w:textAlignment w:val="auto"/>
        <w:rPr>
          <w:rFonts w:hint="eastAsia" w:ascii="仿宋" w:hAnsi="仿宋" w:eastAsia="仿宋" w:cs="仿宋"/>
          <w:color w:val="000000"/>
          <w:sz w:val="28"/>
          <w:szCs w:val="28"/>
        </w:rPr>
      </w:pPr>
    </w:p>
    <w:p w14:paraId="19C97250">
      <w:pPr>
        <w:pStyle w:val="99"/>
        <w:keepNext w:val="0"/>
        <w:keepLines w:val="0"/>
        <w:pageBreakBefore w:val="0"/>
        <w:widowControl w:val="0"/>
        <w:kinsoku/>
        <w:wordWrap/>
        <w:overflowPunct/>
        <w:topLinePunct w:val="0"/>
        <w:autoSpaceDE/>
        <w:autoSpaceDN/>
        <w:bidi w:val="0"/>
        <w:snapToGrid/>
        <w:spacing w:line="390" w:lineRule="exact"/>
        <w:ind w:firstLine="560"/>
        <w:textAlignment w:val="auto"/>
        <w:rPr>
          <w:rFonts w:hint="eastAsia" w:ascii="仿宋" w:hAnsi="仿宋" w:eastAsia="仿宋" w:cs="仿宋"/>
          <w:color w:val="000000"/>
          <w:sz w:val="28"/>
          <w:szCs w:val="28"/>
        </w:rPr>
      </w:pPr>
    </w:p>
    <w:p w14:paraId="468569E3">
      <w:pPr>
        <w:pStyle w:val="99"/>
        <w:keepNext w:val="0"/>
        <w:keepLines w:val="0"/>
        <w:pageBreakBefore w:val="0"/>
        <w:widowControl w:val="0"/>
        <w:kinsoku/>
        <w:wordWrap/>
        <w:overflowPunct/>
        <w:topLinePunct w:val="0"/>
        <w:autoSpaceDE/>
        <w:autoSpaceDN/>
        <w:bidi w:val="0"/>
        <w:snapToGrid/>
        <w:spacing w:line="390" w:lineRule="exact"/>
        <w:ind w:firstLine="560"/>
        <w:textAlignment w:val="auto"/>
        <w:rPr>
          <w:rFonts w:hint="eastAsia" w:ascii="仿宋" w:hAnsi="仿宋" w:eastAsia="仿宋" w:cs="仿宋"/>
          <w:color w:val="000000"/>
          <w:sz w:val="28"/>
          <w:szCs w:val="28"/>
        </w:rPr>
      </w:pPr>
    </w:p>
    <w:p w14:paraId="07FB8799">
      <w:pPr>
        <w:pStyle w:val="99"/>
        <w:keepNext w:val="0"/>
        <w:keepLines w:val="0"/>
        <w:pageBreakBefore w:val="0"/>
        <w:widowControl w:val="0"/>
        <w:kinsoku/>
        <w:wordWrap/>
        <w:overflowPunct/>
        <w:topLinePunct w:val="0"/>
        <w:autoSpaceDE/>
        <w:autoSpaceDN/>
        <w:bidi w:val="0"/>
        <w:snapToGrid/>
        <w:spacing w:line="390" w:lineRule="exact"/>
        <w:ind w:firstLine="560"/>
        <w:textAlignment w:val="auto"/>
        <w:rPr>
          <w:rFonts w:hint="eastAsia" w:ascii="仿宋" w:hAnsi="仿宋" w:eastAsia="仿宋" w:cs="仿宋"/>
          <w:color w:val="000000"/>
          <w:sz w:val="28"/>
          <w:szCs w:val="28"/>
        </w:rPr>
      </w:pPr>
    </w:p>
    <w:p w14:paraId="25D655F3">
      <w:pPr>
        <w:pStyle w:val="99"/>
        <w:keepNext w:val="0"/>
        <w:keepLines w:val="0"/>
        <w:pageBreakBefore w:val="0"/>
        <w:widowControl w:val="0"/>
        <w:kinsoku/>
        <w:wordWrap/>
        <w:overflowPunct/>
        <w:topLinePunct w:val="0"/>
        <w:autoSpaceDE/>
        <w:autoSpaceDN/>
        <w:bidi w:val="0"/>
        <w:snapToGrid/>
        <w:spacing w:line="390" w:lineRule="exact"/>
        <w:ind w:firstLine="560"/>
        <w:textAlignment w:val="auto"/>
        <w:rPr>
          <w:rFonts w:hint="eastAsia" w:ascii="仿宋" w:hAnsi="仿宋" w:eastAsia="仿宋" w:cs="仿宋"/>
          <w:color w:val="000000"/>
          <w:sz w:val="28"/>
          <w:szCs w:val="28"/>
        </w:rPr>
      </w:pPr>
    </w:p>
    <w:p w14:paraId="07056044">
      <w:pPr>
        <w:pStyle w:val="99"/>
        <w:keepNext w:val="0"/>
        <w:keepLines w:val="0"/>
        <w:pageBreakBefore w:val="0"/>
        <w:widowControl w:val="0"/>
        <w:kinsoku/>
        <w:wordWrap/>
        <w:overflowPunct/>
        <w:topLinePunct w:val="0"/>
        <w:autoSpaceDE/>
        <w:autoSpaceDN/>
        <w:bidi w:val="0"/>
        <w:snapToGrid/>
        <w:spacing w:line="390" w:lineRule="exact"/>
        <w:ind w:firstLine="560"/>
        <w:textAlignment w:val="auto"/>
        <w:rPr>
          <w:rFonts w:hint="eastAsia" w:ascii="仿宋" w:hAnsi="仿宋" w:eastAsia="仿宋" w:cs="仿宋"/>
          <w:color w:val="000000"/>
          <w:sz w:val="28"/>
          <w:szCs w:val="28"/>
        </w:rPr>
      </w:pPr>
    </w:p>
    <w:p w14:paraId="59FA3AD6">
      <w:pPr>
        <w:keepNext w:val="0"/>
        <w:keepLines w:val="0"/>
        <w:pageBreakBefore w:val="0"/>
        <w:widowControl/>
        <w:kinsoku/>
        <w:wordWrap/>
        <w:overflowPunct/>
        <w:topLinePunct w:val="0"/>
        <w:autoSpaceDE/>
        <w:autoSpaceDN/>
        <w:bidi w:val="0"/>
        <w:adjustRightInd/>
        <w:snapToGrid/>
        <w:spacing w:line="400" w:lineRule="exact"/>
        <w:textAlignment w:val="auto"/>
        <w:rPr>
          <w:rFonts w:ascii="仿宋" w:hAnsi="仿宋" w:eastAsia="仿宋" w:cs="仿宋"/>
          <w:sz w:val="28"/>
          <w:szCs w:val="28"/>
        </w:rPr>
      </w:pPr>
      <w:r>
        <w:rPr>
          <w:rFonts w:hint="eastAsia" w:ascii="仿宋" w:hAnsi="仿宋" w:eastAsia="仿宋" w:cs="仿宋"/>
          <w:sz w:val="28"/>
          <w:szCs w:val="28"/>
        </w:rPr>
        <w:t>（此页无正文，为《</w:t>
      </w:r>
      <w:r>
        <w:rPr>
          <w:rFonts w:hint="eastAsia" w:ascii="仿宋" w:hAnsi="仿宋" w:eastAsia="仿宋" w:cs="仿宋"/>
          <w:sz w:val="28"/>
          <w:szCs w:val="28"/>
          <w:lang w:val="en-US" w:eastAsia="zh-CN"/>
        </w:rPr>
        <w:t>XXX</w:t>
      </w:r>
      <w:r>
        <w:rPr>
          <w:rFonts w:hint="eastAsia" w:ascii="仿宋" w:hAnsi="仿宋" w:eastAsia="仿宋" w:cs="仿宋"/>
          <w:sz w:val="28"/>
          <w:szCs w:val="28"/>
          <w:lang w:eastAsia="zh-CN"/>
        </w:rPr>
        <w:t>购销合同</w:t>
      </w:r>
      <w:r>
        <w:rPr>
          <w:rFonts w:hint="eastAsia" w:ascii="仿宋" w:hAnsi="仿宋" w:eastAsia="仿宋" w:cs="仿宋"/>
          <w:sz w:val="28"/>
          <w:szCs w:val="28"/>
        </w:rPr>
        <w:t>》各方当事人签署盖章页）</w:t>
      </w:r>
    </w:p>
    <w:p w14:paraId="6601FCF2">
      <w:pPr>
        <w:widowControl/>
        <w:spacing w:before="100" w:beforeAutospacing="1" w:after="100" w:afterAutospacing="1" w:line="300" w:lineRule="exact"/>
        <w:jc w:val="center"/>
        <w:rPr>
          <w:rFonts w:ascii="仿宋" w:hAnsi="仿宋" w:eastAsia="仿宋" w:cs="仿宋"/>
          <w:sz w:val="28"/>
          <w:szCs w:val="28"/>
        </w:rPr>
      </w:pPr>
    </w:p>
    <w:tbl>
      <w:tblPr>
        <w:tblStyle w:val="40"/>
        <w:tblW w:w="9384" w:type="dxa"/>
        <w:jc w:val="center"/>
        <w:tblLayout w:type="fixed"/>
        <w:tblCellMar>
          <w:top w:w="0" w:type="dxa"/>
          <w:left w:w="108" w:type="dxa"/>
          <w:bottom w:w="0" w:type="dxa"/>
          <w:right w:w="108" w:type="dxa"/>
        </w:tblCellMar>
      </w:tblPr>
      <w:tblGrid>
        <w:gridCol w:w="4385"/>
        <w:gridCol w:w="4999"/>
      </w:tblGrid>
      <w:tr w14:paraId="096DAAC6">
        <w:tblPrEx>
          <w:tblCellMar>
            <w:top w:w="0" w:type="dxa"/>
            <w:left w:w="108" w:type="dxa"/>
            <w:bottom w:w="0" w:type="dxa"/>
            <w:right w:w="108" w:type="dxa"/>
          </w:tblCellMar>
        </w:tblPrEx>
        <w:trPr>
          <w:trHeight w:val="10039" w:hRule="atLeast"/>
          <w:jc w:val="center"/>
        </w:trPr>
        <w:tc>
          <w:tcPr>
            <w:tcW w:w="4385" w:type="dxa"/>
          </w:tcPr>
          <w:p w14:paraId="104BB4F8">
            <w:pPr>
              <w:pStyle w:val="2"/>
              <w:spacing w:after="0" w:line="300" w:lineRule="exact"/>
              <w:rPr>
                <w:rFonts w:ascii="仿宋" w:hAnsi="仿宋" w:eastAsia="仿宋" w:cs="仿宋"/>
                <w:sz w:val="28"/>
                <w:szCs w:val="28"/>
              </w:rPr>
            </w:pPr>
            <w:r>
              <w:rPr>
                <w:rFonts w:hint="eastAsia" w:ascii="仿宋" w:hAnsi="仿宋" w:eastAsia="仿宋" w:cs="仿宋"/>
                <w:sz w:val="28"/>
                <w:szCs w:val="28"/>
              </w:rPr>
              <w:t>买方：重庆涪陵聚龙电力有限公司</w:t>
            </w:r>
          </w:p>
          <w:p w14:paraId="54A10E14">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 xml:space="preserve">  （盖  章）</w:t>
            </w:r>
          </w:p>
          <w:p w14:paraId="1CF02DB8">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法定代表人或</w:t>
            </w:r>
          </w:p>
          <w:p w14:paraId="2487ADCE">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授权代表(签字)：</w:t>
            </w:r>
          </w:p>
          <w:p w14:paraId="54A37B27">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 xml:space="preserve">地址：重庆市涪陵区鹤凤大道19号品鉴硅谷园10幢3-1厂房 </w:t>
            </w:r>
          </w:p>
          <w:p w14:paraId="50907077">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邮编：408000</w:t>
            </w:r>
          </w:p>
          <w:p w14:paraId="1F86E2CF">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联系人：</w:t>
            </w:r>
          </w:p>
          <w:p w14:paraId="4ACE3E69">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电话： 023-72285301</w:t>
            </w:r>
          </w:p>
          <w:p w14:paraId="3CD42CAF">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传真：</w:t>
            </w:r>
          </w:p>
          <w:p w14:paraId="1EC4ECC7">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 xml:space="preserve">Email: </w:t>
            </w:r>
          </w:p>
          <w:p w14:paraId="2206F63A">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开户银行：重庆农村商业银行涪陵分行营业部</w:t>
            </w:r>
          </w:p>
          <w:p w14:paraId="18C50D88">
            <w:pPr>
              <w:pStyle w:val="2"/>
              <w:spacing w:before="312" w:beforeLines="100" w:after="312" w:afterLines="100" w:line="300" w:lineRule="exact"/>
              <w:rPr>
                <w:rFonts w:hint="eastAsia" w:ascii="仿宋" w:hAnsi="仿宋" w:eastAsia="仿宋" w:cs="仿宋"/>
                <w:sz w:val="28"/>
                <w:szCs w:val="28"/>
              </w:rPr>
            </w:pPr>
            <w:r>
              <w:rPr>
                <w:rFonts w:hint="eastAsia" w:ascii="仿宋" w:hAnsi="仿宋" w:eastAsia="仿宋" w:cs="仿宋"/>
                <w:sz w:val="28"/>
                <w:szCs w:val="28"/>
              </w:rPr>
              <w:t>账号：2417010120010005237</w:t>
            </w:r>
          </w:p>
          <w:p w14:paraId="6568BFEB">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统一社会信用代码：</w:t>
            </w:r>
          </w:p>
          <w:p w14:paraId="2383B8CA">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915001026608901334</w:t>
            </w:r>
          </w:p>
        </w:tc>
        <w:tc>
          <w:tcPr>
            <w:tcW w:w="4999" w:type="dxa"/>
          </w:tcPr>
          <w:p w14:paraId="7F931B43">
            <w:pPr>
              <w:widowControl/>
              <w:spacing w:before="100" w:beforeAutospacing="1" w:after="100" w:afterAutospacing="1" w:line="300" w:lineRule="exact"/>
              <w:jc w:val="left"/>
              <w:rPr>
                <w:rFonts w:hint="eastAsia" w:ascii="仿宋" w:hAnsi="仿宋" w:eastAsia="仿宋" w:cs="仿宋"/>
                <w:sz w:val="28"/>
                <w:szCs w:val="28"/>
                <w:lang w:eastAsia="zh-CN"/>
              </w:rPr>
            </w:pPr>
            <w:r>
              <w:rPr>
                <w:rFonts w:hint="eastAsia" w:ascii="仿宋" w:hAnsi="仿宋" w:eastAsia="仿宋" w:cs="仿宋"/>
                <w:sz w:val="28"/>
                <w:szCs w:val="28"/>
              </w:rPr>
              <w:t>卖方：</w:t>
            </w:r>
          </w:p>
          <w:p w14:paraId="2A21FAF2">
            <w:pPr>
              <w:pStyle w:val="2"/>
              <w:spacing w:after="0" w:line="300" w:lineRule="exact"/>
              <w:rPr>
                <w:rFonts w:ascii="仿宋" w:hAnsi="仿宋" w:eastAsia="仿宋" w:cs="仿宋"/>
                <w:sz w:val="28"/>
                <w:szCs w:val="28"/>
              </w:rPr>
            </w:pPr>
            <w:r>
              <w:rPr>
                <w:rFonts w:hint="eastAsia" w:ascii="仿宋" w:hAnsi="仿宋" w:eastAsia="仿宋" w:cs="仿宋"/>
                <w:sz w:val="28"/>
                <w:szCs w:val="28"/>
              </w:rPr>
              <w:t>（盖  章）</w:t>
            </w:r>
          </w:p>
          <w:p w14:paraId="44FBA83B">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法定代表人或</w:t>
            </w:r>
          </w:p>
          <w:p w14:paraId="6F5A076A">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授权代表(签字)：</w:t>
            </w:r>
          </w:p>
          <w:p w14:paraId="22AF4DE5">
            <w:pPr>
              <w:pStyle w:val="2"/>
              <w:spacing w:before="312" w:beforeLines="100" w:after="312" w:afterLines="100" w:line="300" w:lineRule="exact"/>
              <w:rPr>
                <w:rFonts w:hint="eastAsia" w:ascii="仿宋" w:hAnsi="仿宋" w:eastAsia="仿宋" w:cs="仿宋"/>
                <w:sz w:val="28"/>
                <w:szCs w:val="28"/>
                <w:lang w:val="en-US" w:eastAsia="zh-CN"/>
              </w:rPr>
            </w:pPr>
            <w:r>
              <w:rPr>
                <w:rFonts w:hint="eastAsia" w:ascii="仿宋" w:hAnsi="仿宋" w:eastAsia="仿宋" w:cs="仿宋"/>
                <w:sz w:val="28"/>
                <w:szCs w:val="28"/>
              </w:rPr>
              <w:t>地址：</w:t>
            </w:r>
            <w:r>
              <w:rPr>
                <w:rFonts w:hint="eastAsia" w:ascii="仿宋" w:hAnsi="仿宋" w:eastAsia="仿宋" w:cs="仿宋"/>
                <w:sz w:val="28"/>
                <w:szCs w:val="28"/>
                <w:lang w:val="en-US" w:eastAsia="zh-CN"/>
              </w:rPr>
              <w:t xml:space="preserve"> </w:t>
            </w:r>
          </w:p>
          <w:p w14:paraId="3915612C">
            <w:pPr>
              <w:pStyle w:val="2"/>
              <w:spacing w:before="312" w:beforeLines="100" w:after="312" w:afterLines="100" w:line="300" w:lineRule="exact"/>
              <w:rPr>
                <w:rFonts w:hint="eastAsia" w:ascii="仿宋" w:hAnsi="仿宋" w:eastAsia="仿宋" w:cs="仿宋"/>
                <w:sz w:val="28"/>
                <w:szCs w:val="28"/>
                <w:lang w:eastAsia="zh-CN"/>
              </w:rPr>
            </w:pPr>
            <w:r>
              <w:rPr>
                <w:rFonts w:hint="eastAsia" w:ascii="仿宋" w:hAnsi="仿宋" w:eastAsia="仿宋" w:cs="仿宋"/>
                <w:sz w:val="28"/>
                <w:szCs w:val="28"/>
              </w:rPr>
              <w:t>邮编：</w:t>
            </w:r>
            <w:r>
              <w:rPr>
                <w:rFonts w:hint="eastAsia" w:ascii="仿宋" w:hAnsi="仿宋" w:eastAsia="仿宋" w:cs="仿宋"/>
                <w:sz w:val="28"/>
                <w:szCs w:val="28"/>
                <w:lang w:val="en-US" w:eastAsia="zh-CN"/>
              </w:rPr>
              <w:t xml:space="preserve"> </w:t>
            </w:r>
          </w:p>
          <w:p w14:paraId="3AE03512">
            <w:pPr>
              <w:pStyle w:val="2"/>
              <w:spacing w:before="312" w:beforeLines="100" w:after="312" w:afterLines="100" w:line="300" w:lineRule="exact"/>
              <w:rPr>
                <w:rFonts w:hint="eastAsia" w:ascii="仿宋" w:hAnsi="仿宋" w:eastAsia="仿宋" w:cs="仿宋"/>
                <w:sz w:val="28"/>
                <w:szCs w:val="28"/>
                <w:lang w:eastAsia="zh-CN"/>
              </w:rPr>
            </w:pPr>
            <w:r>
              <w:rPr>
                <w:rFonts w:hint="eastAsia" w:ascii="仿宋" w:hAnsi="仿宋" w:eastAsia="仿宋" w:cs="仿宋"/>
                <w:sz w:val="28"/>
                <w:szCs w:val="28"/>
              </w:rPr>
              <w:t>联系人：</w:t>
            </w:r>
            <w:r>
              <w:rPr>
                <w:rFonts w:hint="eastAsia" w:ascii="仿宋" w:hAnsi="仿宋" w:eastAsia="仿宋" w:cs="仿宋"/>
                <w:sz w:val="28"/>
                <w:szCs w:val="28"/>
                <w:lang w:val="en-US" w:eastAsia="zh-CN"/>
              </w:rPr>
              <w:t xml:space="preserve"> </w:t>
            </w:r>
          </w:p>
          <w:p w14:paraId="58E2D719">
            <w:pPr>
              <w:pStyle w:val="2"/>
              <w:spacing w:before="312" w:beforeLines="100" w:after="312" w:afterLines="100" w:line="300" w:lineRule="exact"/>
              <w:rPr>
                <w:rFonts w:hint="eastAsia" w:ascii="仿宋" w:hAnsi="仿宋" w:eastAsia="仿宋" w:cs="仿宋"/>
                <w:sz w:val="28"/>
                <w:szCs w:val="28"/>
                <w:lang w:eastAsia="zh-CN"/>
              </w:rPr>
            </w:pPr>
            <w:r>
              <w:rPr>
                <w:rFonts w:hint="eastAsia" w:ascii="仿宋" w:hAnsi="仿宋" w:eastAsia="仿宋" w:cs="仿宋"/>
                <w:sz w:val="28"/>
                <w:szCs w:val="28"/>
              </w:rPr>
              <w:t>电话：</w:t>
            </w:r>
            <w:r>
              <w:rPr>
                <w:rFonts w:hint="eastAsia" w:ascii="仿宋" w:hAnsi="仿宋" w:eastAsia="仿宋" w:cs="仿宋"/>
                <w:sz w:val="28"/>
                <w:szCs w:val="28"/>
                <w:lang w:val="en-US" w:eastAsia="zh-CN"/>
              </w:rPr>
              <w:t xml:space="preserve"> </w:t>
            </w:r>
          </w:p>
          <w:p w14:paraId="7AF4DD8A">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传真：</w:t>
            </w:r>
          </w:p>
          <w:p w14:paraId="69337B42">
            <w:pPr>
              <w:pStyle w:val="2"/>
              <w:spacing w:before="312" w:beforeLines="100" w:after="312" w:afterLines="100" w:line="300" w:lineRule="exact"/>
              <w:rPr>
                <w:rFonts w:hint="eastAsia" w:ascii="仿宋" w:hAnsi="仿宋" w:eastAsia="仿宋" w:cs="仿宋"/>
                <w:sz w:val="28"/>
                <w:szCs w:val="28"/>
                <w:lang w:val="en-US" w:eastAsia="zh-CN"/>
              </w:rPr>
            </w:pPr>
            <w:r>
              <w:rPr>
                <w:rFonts w:hint="eastAsia" w:ascii="仿宋" w:hAnsi="仿宋" w:eastAsia="仿宋" w:cs="仿宋"/>
                <w:sz w:val="28"/>
                <w:szCs w:val="28"/>
              </w:rPr>
              <w:t xml:space="preserve">Email: </w:t>
            </w:r>
            <w:r>
              <w:rPr>
                <w:rFonts w:hint="eastAsia" w:ascii="仿宋" w:hAnsi="仿宋" w:eastAsia="仿宋" w:cs="仿宋"/>
                <w:sz w:val="28"/>
                <w:szCs w:val="28"/>
                <w:lang w:val="en-US" w:eastAsia="zh-CN"/>
              </w:rPr>
              <w:t xml:space="preserve"> </w:t>
            </w:r>
          </w:p>
          <w:p w14:paraId="7CC2E7C5">
            <w:pPr>
              <w:pStyle w:val="2"/>
              <w:spacing w:before="312" w:beforeLines="100" w:after="312" w:afterLines="100" w:line="300" w:lineRule="exact"/>
              <w:rPr>
                <w:rFonts w:hint="eastAsia" w:ascii="仿宋" w:hAnsi="仿宋" w:eastAsia="仿宋" w:cs="仿宋"/>
                <w:sz w:val="28"/>
                <w:szCs w:val="28"/>
                <w:lang w:val="en-US" w:eastAsia="zh-CN"/>
              </w:rPr>
            </w:pPr>
            <w:r>
              <w:rPr>
                <w:rFonts w:hint="eastAsia" w:ascii="仿宋" w:hAnsi="仿宋" w:eastAsia="仿宋" w:cs="仿宋"/>
                <w:sz w:val="28"/>
                <w:szCs w:val="28"/>
              </w:rPr>
              <w:t>开户银行：</w:t>
            </w:r>
            <w:r>
              <w:rPr>
                <w:rFonts w:hint="eastAsia" w:ascii="仿宋" w:hAnsi="仿宋" w:eastAsia="仿宋" w:cs="仿宋"/>
                <w:sz w:val="28"/>
                <w:szCs w:val="28"/>
                <w:lang w:val="en-US" w:eastAsia="zh-CN"/>
              </w:rPr>
              <w:t xml:space="preserve"> </w:t>
            </w:r>
          </w:p>
          <w:p w14:paraId="12822377">
            <w:pPr>
              <w:pStyle w:val="2"/>
              <w:spacing w:before="312" w:beforeLines="100" w:after="312" w:afterLines="100" w:line="300" w:lineRule="exact"/>
              <w:rPr>
                <w:rFonts w:hint="eastAsia" w:ascii="仿宋" w:hAnsi="仿宋" w:eastAsia="仿宋" w:cs="仿宋"/>
                <w:sz w:val="28"/>
                <w:szCs w:val="28"/>
                <w:lang w:val="en-US" w:eastAsia="zh-CN"/>
              </w:rPr>
            </w:pPr>
            <w:r>
              <w:rPr>
                <w:rFonts w:hint="eastAsia" w:ascii="仿宋" w:hAnsi="仿宋" w:eastAsia="仿宋" w:cs="仿宋"/>
                <w:sz w:val="28"/>
                <w:szCs w:val="28"/>
              </w:rPr>
              <w:t>账号：</w:t>
            </w:r>
            <w:r>
              <w:rPr>
                <w:rFonts w:hint="eastAsia" w:ascii="仿宋" w:hAnsi="仿宋" w:eastAsia="仿宋" w:cs="仿宋"/>
                <w:sz w:val="28"/>
                <w:szCs w:val="28"/>
                <w:lang w:val="en-US" w:eastAsia="zh-CN"/>
              </w:rPr>
              <w:t xml:space="preserve"> </w:t>
            </w:r>
          </w:p>
          <w:p w14:paraId="660B5708">
            <w:pPr>
              <w:pStyle w:val="2"/>
              <w:spacing w:before="312" w:beforeLines="100" w:after="312" w:afterLines="100" w:line="300" w:lineRule="exact"/>
              <w:rPr>
                <w:rFonts w:ascii="仿宋" w:hAnsi="仿宋" w:eastAsia="仿宋" w:cs="仿宋"/>
                <w:sz w:val="28"/>
                <w:szCs w:val="28"/>
              </w:rPr>
            </w:pPr>
            <w:r>
              <w:rPr>
                <w:rFonts w:hint="eastAsia" w:ascii="仿宋" w:hAnsi="仿宋" w:eastAsia="仿宋" w:cs="仿宋"/>
                <w:sz w:val="28"/>
                <w:szCs w:val="28"/>
              </w:rPr>
              <w:t>统一社会信用代码：</w:t>
            </w:r>
          </w:p>
          <w:p w14:paraId="23F7EE71">
            <w:pPr>
              <w:pStyle w:val="2"/>
              <w:spacing w:before="312" w:beforeLines="100" w:after="312" w:afterLines="100" w:line="300" w:lineRule="exact"/>
              <w:rPr>
                <w:rFonts w:ascii="仿宋" w:hAnsi="仿宋" w:eastAsia="仿宋" w:cs="仿宋"/>
                <w:sz w:val="28"/>
                <w:szCs w:val="28"/>
              </w:rPr>
            </w:pPr>
          </w:p>
        </w:tc>
      </w:tr>
    </w:tbl>
    <w:p w14:paraId="4B60A7BC">
      <w:pPr>
        <w:spacing w:line="580" w:lineRule="exact"/>
        <w:jc w:val="center"/>
        <w:rPr>
          <w:rFonts w:ascii="方正仿宋_GBK" w:hAnsi="方正仿宋_GBK" w:eastAsia="方正仿宋_GBK" w:cs="方正仿宋_GBK"/>
          <w:b/>
          <w:sz w:val="32"/>
          <w:szCs w:val="32"/>
        </w:rPr>
      </w:pPr>
    </w:p>
    <w:bookmarkEnd w:id="554"/>
    <w:bookmarkEnd w:id="555"/>
    <w:bookmarkEnd w:id="556"/>
    <w:bookmarkEnd w:id="557"/>
    <w:bookmarkEnd w:id="558"/>
    <w:p w14:paraId="23E0FCB9">
      <w:pPr>
        <w:widowControl/>
        <w:spacing w:line="480" w:lineRule="exact"/>
        <w:ind w:firstLine="643"/>
        <w:jc w:val="center"/>
        <w:rPr>
          <w:rFonts w:hint="eastAsia" w:ascii="方正小标宋_GBK" w:hAnsi="方正小标宋_GBK" w:eastAsia="方正小标宋_GBK" w:cs="方正小标宋_GBK"/>
          <w:bCs/>
          <w:snapToGrid w:val="0"/>
          <w:kern w:val="0"/>
          <w:sz w:val="44"/>
          <w:szCs w:val="44"/>
        </w:rPr>
      </w:pPr>
    </w:p>
    <w:p w14:paraId="084503D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Times New Roman" w:hAnsi="Times New Roman" w:eastAsia="方正小标宋_GBK" w:cs="Times New Roman"/>
          <w:sz w:val="44"/>
          <w:szCs w:val="44"/>
        </w:rPr>
      </w:pPr>
    </w:p>
    <w:p w14:paraId="59227B13">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Times New Roman" w:hAnsi="Times New Roman" w:eastAsia="方正小标宋_GBK" w:cs="Times New Roman"/>
          <w:sz w:val="44"/>
          <w:szCs w:val="44"/>
        </w:rPr>
        <w:sectPr>
          <w:footerReference r:id="rId7" w:type="default"/>
          <w:pgSz w:w="11906" w:h="16838"/>
          <w:pgMar w:top="1440" w:right="1800" w:bottom="1440" w:left="1800" w:header="851" w:footer="992" w:gutter="0"/>
          <w:pgNumType w:fmt="decimal"/>
          <w:cols w:space="425" w:num="1"/>
          <w:docGrid w:type="lines" w:linePitch="312" w:charSpace="0"/>
        </w:sectPr>
      </w:pPr>
    </w:p>
    <w:p w14:paraId="61420B7E">
      <w:pPr>
        <w:keepNext w:val="0"/>
        <w:keepLines w:val="0"/>
        <w:pageBreakBefore w:val="0"/>
        <w:widowControl w:val="0"/>
        <w:kinsoku/>
        <w:wordWrap/>
        <w:overflowPunct/>
        <w:topLinePunct w:val="0"/>
        <w:autoSpaceDE/>
        <w:autoSpaceDN/>
        <w:bidi w:val="0"/>
        <w:adjustRightInd/>
        <w:spacing w:line="400" w:lineRule="exact"/>
        <w:textAlignment w:val="auto"/>
        <w:outlineLvl w:val="1"/>
        <w:rPr>
          <w:rFonts w:hint="default" w:ascii="方正黑体_GBK" w:hAnsi="方正黑体_GBK" w:eastAsia="方正黑体_GBK" w:cs="方正黑体_GBK"/>
          <w:b w:val="0"/>
          <w:bCs/>
          <w:sz w:val="32"/>
          <w:szCs w:val="32"/>
          <w:lang w:val="en-US" w:eastAsia="zh-CN"/>
        </w:rPr>
      </w:pPr>
      <w:r>
        <w:rPr>
          <w:rFonts w:hint="eastAsia" w:ascii="方正黑体_GBK" w:hAnsi="方正黑体_GBK" w:eastAsia="方正黑体_GBK" w:cs="方正黑体_GBK"/>
          <w:b w:val="0"/>
          <w:bCs/>
          <w:sz w:val="32"/>
          <w:szCs w:val="32"/>
          <w:lang w:val="en-US" w:eastAsia="zh-CN"/>
        </w:rPr>
        <w:t>附件1</w:t>
      </w:r>
    </w:p>
    <w:p w14:paraId="228AF1F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eastAsia="方正小标宋_GBK" w:cs="Times New Roman"/>
          <w:sz w:val="44"/>
          <w:szCs w:val="44"/>
        </w:rPr>
      </w:pPr>
    </w:p>
    <w:p w14:paraId="634146DD">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hint="default" w:ascii="Times New Roman" w:hAnsi="Times New Roman" w:cs="Times New Roman"/>
        </w:rPr>
      </w:pPr>
      <w:r>
        <w:rPr>
          <w:rFonts w:hint="default" w:ascii="Times New Roman" w:hAnsi="Times New Roman" w:eastAsia="方正小标宋_GBK" w:cs="Times New Roman"/>
          <w:sz w:val="44"/>
          <w:szCs w:val="44"/>
        </w:rPr>
        <w:t>廉  洁  协  议</w:t>
      </w:r>
    </w:p>
    <w:p w14:paraId="61EADF7F">
      <w:pPr>
        <w:pStyle w:val="35"/>
        <w:keepNext w:val="0"/>
        <w:keepLines w:val="0"/>
        <w:pageBreakBefore w:val="0"/>
        <w:kinsoku/>
        <w:wordWrap/>
        <w:overflowPunct/>
        <w:topLinePunct w:val="0"/>
        <w:autoSpaceDE/>
        <w:autoSpaceDN/>
        <w:bidi w:val="0"/>
        <w:adjustRightInd/>
        <w:snapToGrid/>
        <w:spacing w:before="0" w:beforeAutospacing="0" w:after="0" w:afterAutospacing="0" w:line="400" w:lineRule="exact"/>
        <w:textAlignment w:val="auto"/>
        <w:rPr>
          <w:rFonts w:hint="default" w:ascii="Times New Roman" w:hAnsi="Times New Roman" w:eastAsia="仿宋" w:cs="Times New Roman"/>
          <w:bCs/>
          <w:sz w:val="28"/>
          <w:szCs w:val="28"/>
        </w:rPr>
      </w:pPr>
    </w:p>
    <w:p w14:paraId="7E3D9E5D">
      <w:pPr>
        <w:pStyle w:val="35"/>
        <w:keepNext w:val="0"/>
        <w:keepLines w:val="0"/>
        <w:pageBreakBefore w:val="0"/>
        <w:kinsoku/>
        <w:wordWrap/>
        <w:overflowPunct/>
        <w:topLinePunct w:val="0"/>
        <w:autoSpaceDE/>
        <w:autoSpaceDN/>
        <w:bidi w:val="0"/>
        <w:adjustRightInd/>
        <w:snapToGrid/>
        <w:spacing w:before="0" w:beforeAutospacing="0" w:after="0" w:afterAutospacing="0" w:line="400" w:lineRule="exac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甲  方：重庆涪陵聚龙电力有限公司           </w:t>
      </w:r>
      <w:r>
        <w:rPr>
          <w:rFonts w:hint="eastAsia" w:ascii="仿宋" w:hAnsi="仿宋" w:eastAsia="仿宋" w:cs="仿宋"/>
          <w:sz w:val="28"/>
          <w:szCs w:val="28"/>
          <w:lang w:val="en-US" w:eastAsia="zh-CN"/>
        </w:rPr>
        <w:t xml:space="preserve">  </w:t>
      </w:r>
      <w:r>
        <w:rPr>
          <w:rFonts w:hint="default" w:ascii="仿宋" w:hAnsi="仿宋" w:eastAsia="仿宋" w:cs="仿宋"/>
          <w:sz w:val="28"/>
          <w:szCs w:val="28"/>
          <w:lang w:val="en-US" w:eastAsia="zh-CN"/>
        </w:rPr>
        <w:t>（以下简称甲方）</w:t>
      </w:r>
    </w:p>
    <w:p w14:paraId="4E7F71A4">
      <w:pPr>
        <w:pStyle w:val="35"/>
        <w:keepNext w:val="0"/>
        <w:keepLines w:val="0"/>
        <w:pageBreakBefore w:val="0"/>
        <w:kinsoku/>
        <w:wordWrap/>
        <w:overflowPunct/>
        <w:topLinePunct w:val="0"/>
        <w:autoSpaceDE/>
        <w:autoSpaceDN/>
        <w:bidi w:val="0"/>
        <w:adjustRightInd/>
        <w:snapToGrid/>
        <w:spacing w:before="0" w:beforeAutospacing="0" w:after="0" w:afterAutospacing="0" w:line="400" w:lineRule="exac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乙  方：</w:t>
      </w:r>
      <w:r>
        <w:rPr>
          <w:rFonts w:hint="eastAsia" w:ascii="仿宋" w:hAnsi="仿宋" w:eastAsia="仿宋" w:cs="仿宋"/>
          <w:sz w:val="28"/>
          <w:szCs w:val="28"/>
          <w:lang w:val="en-US" w:eastAsia="zh-CN"/>
        </w:rPr>
        <w:t xml:space="preserve">                                     </w:t>
      </w:r>
      <w:r>
        <w:rPr>
          <w:rFonts w:hint="default" w:ascii="仿宋" w:hAnsi="仿宋" w:eastAsia="仿宋" w:cs="仿宋"/>
          <w:sz w:val="28"/>
          <w:szCs w:val="28"/>
          <w:lang w:val="en-US" w:eastAsia="zh-CN"/>
        </w:rPr>
        <w:t>（以下简称乙方）</w:t>
      </w:r>
    </w:p>
    <w:p w14:paraId="146F5F14">
      <w:pPr>
        <w:pStyle w:val="35"/>
        <w:keepNext w:val="0"/>
        <w:keepLines w:val="0"/>
        <w:pageBreakBefore w:val="0"/>
        <w:kinsoku/>
        <w:wordWrap/>
        <w:overflowPunct/>
        <w:topLinePunct w:val="0"/>
        <w:autoSpaceDE/>
        <w:autoSpaceDN/>
        <w:bidi w:val="0"/>
        <w:adjustRightInd/>
        <w:snapToGrid/>
        <w:spacing w:before="0" w:beforeAutospacing="0" w:after="0" w:afterAutospacing="0" w:line="400" w:lineRule="exact"/>
        <w:textAlignment w:val="auto"/>
        <w:rPr>
          <w:rFonts w:hint="default" w:ascii="Times New Roman" w:hAnsi="Times New Roman" w:eastAsia="仿宋" w:cs="Times New Roman"/>
          <w:b/>
          <w:sz w:val="28"/>
          <w:szCs w:val="28"/>
        </w:rPr>
      </w:pPr>
    </w:p>
    <w:p w14:paraId="142F1A4C">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为了防范和控制</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lang w:eastAsia="zh-CN"/>
        </w:rPr>
        <w:t>购销合同</w:t>
      </w:r>
      <w:r>
        <w:rPr>
          <w:rFonts w:hint="default" w:ascii="Times New Roman" w:hAnsi="Times New Roman" w:eastAsia="仿宋" w:cs="Times New Roman"/>
          <w:color w:val="auto"/>
          <w:sz w:val="28"/>
          <w:szCs w:val="28"/>
          <w:highlight w:val="none"/>
        </w:rPr>
        <w:t>（合同编号：</w:t>
      </w:r>
      <w:r>
        <w:rPr>
          <w:rFonts w:hint="eastAsia" w:ascii="仿宋" w:hAnsi="仿宋" w:eastAsia="仿宋" w:cs="仿宋"/>
          <w:sz w:val="28"/>
          <w:szCs w:val="28"/>
          <w:u w:val="single"/>
          <w:lang w:val="en-US" w:eastAsia="zh-CN"/>
        </w:rPr>
        <w:t xml:space="preserve">                  </w:t>
      </w:r>
      <w:r>
        <w:rPr>
          <w:rFonts w:hint="default" w:ascii="Times New Roman" w:hAnsi="Times New Roman" w:eastAsia="仿宋" w:cs="Times New Roman"/>
          <w:color w:val="auto"/>
          <w:sz w:val="28"/>
          <w:szCs w:val="28"/>
          <w:highlight w:val="none"/>
        </w:rPr>
        <w:t>）商定和履行过程中的廉洁风险，维护正常的市场秩序和双方的合法权益，保障相关资金的规范、有效使用，根据反腐倡廉有关规定，经双方商议，特订立本协议。</w:t>
      </w:r>
    </w:p>
    <w:p w14:paraId="320751D7">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一、甲乙双方责任</w:t>
      </w:r>
    </w:p>
    <w:p w14:paraId="518B1460">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1．严格遵守国家的法律法规和廉洁从业有关规定。</w:t>
      </w:r>
    </w:p>
    <w:p w14:paraId="046E9D91">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2．坚持公开、公正、诚信、透明的原则（国家秘密、法律认定的商业秘密和合同文件另有规定的除外），不得损害国家、集体和双方的正当利益。</w:t>
      </w:r>
    </w:p>
    <w:p w14:paraId="6B265B34">
      <w:pPr>
        <w:keepNext w:val="0"/>
        <w:keepLines w:val="0"/>
        <w:pageBreakBefore w:val="0"/>
        <w:kinsoku/>
        <w:wordWrap/>
        <w:overflowPunct/>
        <w:topLinePunct w:val="0"/>
        <w:autoSpaceDE/>
        <w:autoSpaceDN/>
        <w:bidi w:val="0"/>
        <w:snapToGrid w:val="0"/>
        <w:spacing w:line="400" w:lineRule="exact"/>
        <w:ind w:left="-418" w:leftChars="-199" w:right="-491" w:rightChars="-234" w:firstLine="982" w:firstLineChars="351"/>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3．定期开展党风廉政宣传教育活动，提高从业人员的廉洁意识。</w:t>
      </w:r>
    </w:p>
    <w:p w14:paraId="049C0D99">
      <w:pPr>
        <w:keepNext w:val="0"/>
        <w:keepLines w:val="0"/>
        <w:pageBreakBefore w:val="0"/>
        <w:kinsoku/>
        <w:wordWrap/>
        <w:overflowPunct/>
        <w:topLinePunct w:val="0"/>
        <w:autoSpaceDE/>
        <w:autoSpaceDN/>
        <w:bidi w:val="0"/>
        <w:snapToGrid w:val="0"/>
        <w:spacing w:line="400" w:lineRule="exact"/>
        <w:ind w:right="-281" w:rightChars="-134"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4．规范招标及采购管理</w:t>
      </w:r>
      <w:r>
        <w:rPr>
          <w:rFonts w:hint="default" w:ascii="Times New Roman" w:hAnsi="Times New Roman" w:eastAsia="仿宋" w:cs="Times New Roman"/>
          <w:color w:val="auto"/>
          <w:sz w:val="28"/>
          <w:szCs w:val="28"/>
          <w:highlight w:val="none"/>
          <w:lang w:val="en-US" w:eastAsia="zh-CN"/>
        </w:rPr>
        <w:t>,</w:t>
      </w:r>
      <w:r>
        <w:rPr>
          <w:rFonts w:hint="default" w:ascii="Times New Roman" w:hAnsi="Times New Roman" w:eastAsia="仿宋" w:cs="Times New Roman"/>
          <w:color w:val="auto"/>
          <w:sz w:val="28"/>
          <w:szCs w:val="28"/>
          <w:highlight w:val="none"/>
        </w:rPr>
        <w:t>严格执行合同文件</w:t>
      </w:r>
      <w:r>
        <w:rPr>
          <w:rFonts w:hint="default" w:ascii="Times New Roman" w:hAnsi="Times New Roman" w:eastAsia="仿宋" w:cs="Times New Roman"/>
          <w:color w:val="auto"/>
          <w:sz w:val="28"/>
          <w:szCs w:val="28"/>
          <w:highlight w:val="none"/>
          <w:lang w:val="en-US" w:eastAsia="zh-CN"/>
        </w:rPr>
        <w:t>,</w:t>
      </w:r>
      <w:r>
        <w:rPr>
          <w:rFonts w:hint="default" w:ascii="Times New Roman" w:hAnsi="Times New Roman" w:eastAsia="仿宋" w:cs="Times New Roman"/>
          <w:color w:val="auto"/>
          <w:sz w:val="28"/>
          <w:szCs w:val="28"/>
          <w:highlight w:val="none"/>
        </w:rPr>
        <w:t>按照合同条款办事。</w:t>
      </w:r>
    </w:p>
    <w:p w14:paraId="079BE146">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5．开展多种形式的监督检查。</w:t>
      </w:r>
    </w:p>
    <w:p w14:paraId="2B482464">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6．发生涉及本业务活动的不廉洁问题，及时按规定向双方纪检部门或司法机关举报或通报，并积极配合查处。</w:t>
      </w:r>
    </w:p>
    <w:p w14:paraId="30D5AEDD">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二、甲方人员义务</w:t>
      </w:r>
    </w:p>
    <w:p w14:paraId="29B5C12A">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1．不得索取或接受乙方提供的利益和方便。</w:t>
      </w:r>
    </w:p>
    <w:p w14:paraId="110C8998">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（1）不得索取或接受乙方的礼品、礼金、有价证券、电子红包、支付凭证和商业预付卡等（以下简称“礼品礼金”）。</w:t>
      </w:r>
    </w:p>
    <w:p w14:paraId="24BCE063">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（2）不得参加乙方安排的宴请和娱乐活动；不得接受乙方提供的通讯工具、交通工具、高档办公用品及其他服务。</w:t>
      </w:r>
    </w:p>
    <w:p w14:paraId="0067AD3D">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（3）不得在个人住房装修、婚丧嫁娶、配偶、子女和其他亲属就业、出国出境、旅游等事宜中索取或接受乙方提供的利益和便利；不得在乙方报销任何应由甲方负担或支付的费用。</w:t>
      </w:r>
    </w:p>
    <w:p w14:paraId="4DBBB134">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2．不得利用职权从事各种有偿中介活动，不得营私舞弊。</w:t>
      </w:r>
    </w:p>
    <w:p w14:paraId="29D29E3D">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3．甲方人员的配偶、子女、近亲属不得从事与甲方项目有关的物资供应、工程分包、劳务等经济活动。</w:t>
      </w:r>
    </w:p>
    <w:p w14:paraId="0BA9CDCE">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4．不得违反规定向乙方推荐分包商或供应商。</w:t>
      </w:r>
    </w:p>
    <w:p w14:paraId="58CA6F2B">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5．不得有其他不廉洁行为。</w:t>
      </w:r>
    </w:p>
    <w:p w14:paraId="64BA60B0">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三、乙方人员义务</w:t>
      </w:r>
    </w:p>
    <w:p w14:paraId="78FA1E52">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1．不得以任何形式向甲方及相关人员输送利益和方便。</w:t>
      </w:r>
    </w:p>
    <w:p w14:paraId="0A36F6BB">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（1）不得向甲方及相关人员行贿或馈赠礼品礼金。</w:t>
      </w:r>
    </w:p>
    <w:p w14:paraId="3268E5E9">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（2）不得向甲方及相关人员提供宴请和娱乐活动；不得为其购置或提供通讯工具、交通工具、高档办公用品及其他服务。</w:t>
      </w:r>
    </w:p>
    <w:p w14:paraId="47E8D15C">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（3）不得为甲方及相关人员在住房装修、婚丧嫁娶、配偶、子女和其他亲属就业、出国出境、旅游等事宜中提供利益和便利；不得以任何名义报销应由甲方及相关人员负担或支付的费用。</w:t>
      </w:r>
    </w:p>
    <w:p w14:paraId="63CF2F60">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2．不得有其他不廉洁行为。</w:t>
      </w:r>
    </w:p>
    <w:p w14:paraId="53940E45">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3．积极支持配合甲方调查问题，不得隐瞒、袒护甲方及相关人员的不廉洁问题。</w:t>
      </w:r>
    </w:p>
    <w:p w14:paraId="1C7301ED">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四、责任追究</w:t>
      </w:r>
    </w:p>
    <w:p w14:paraId="28479DC2">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1．按照国家、上级机关和甲乙双方的有关制度和规定，以甲方为主、乙方配合，追究涉及的不廉洁问题。</w:t>
      </w:r>
    </w:p>
    <w:p w14:paraId="21EC0C49">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2．建立廉洁违约罚金制度。廉洁违约罚金的额度为合同总额的1%（不超过50万元）。如违反本协议，根据情节、损失和后果按以下规定在合同支付款中进行扣减。</w:t>
      </w:r>
    </w:p>
    <w:p w14:paraId="32210D5D">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（1）造成直接损失或不良后果，情节较轻的，扣除10%－40%廉洁违约罚金。</w:t>
      </w:r>
    </w:p>
    <w:p w14:paraId="3C857EE9">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（2）情节较重的，扣除50%廉洁违约罚金。</w:t>
      </w:r>
    </w:p>
    <w:p w14:paraId="17D30B99">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（3）情节严重的，扣除100%廉洁违约罚金。</w:t>
      </w:r>
    </w:p>
    <w:p w14:paraId="5ACF040E">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3．廉洁违约罚金的扣减：由甲方合同管理单位根据纪检部门意见，与合同进度款的结算同步进行。</w:t>
      </w:r>
    </w:p>
    <w:p w14:paraId="197E214E">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4．对积极配合甲方调查，并确有立功表现或从轻、减轻违纪违规情节的，可根据相关规定履行审批手续后酌情减免处罚。</w:t>
      </w:r>
    </w:p>
    <w:p w14:paraId="7CA6287A">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5．上述处罚的同时，甲方可按照三峡水利有关规定另行给予乙方暂停合同履行、降低信用评级、禁止参加甲方其他项目等处理。</w:t>
      </w:r>
    </w:p>
    <w:p w14:paraId="2FC20C9B">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6．甲方违反本协议，影响乙方履行合同并造成损失的，甲方应承担赔偿责任。</w:t>
      </w:r>
    </w:p>
    <w:p w14:paraId="4A42D37F">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五、监督执行</w:t>
      </w:r>
    </w:p>
    <w:p w14:paraId="06ED6515">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1．本协议</w:t>
      </w:r>
      <w:r>
        <w:rPr>
          <w:rFonts w:hint="default" w:ascii="Times New Roman" w:hAnsi="Times New Roman" w:eastAsia="仿宋" w:cs="Times New Roman"/>
          <w:color w:val="auto"/>
          <w:sz w:val="28"/>
          <w:szCs w:val="28"/>
          <w:highlight w:val="none"/>
          <w:lang w:eastAsia="zh-CN"/>
        </w:rPr>
        <w:t>作</w:t>
      </w:r>
      <w:r>
        <w:rPr>
          <w:rFonts w:hint="default" w:ascii="Times New Roman" w:hAnsi="Times New Roman" w:eastAsia="仿宋" w:cs="Times New Roman"/>
          <w:color w:val="auto"/>
          <w:sz w:val="28"/>
          <w:szCs w:val="28"/>
          <w:highlight w:val="none"/>
        </w:rPr>
        <w:t>为业务合同附件，由甲乙双方纪检部门联合监督执行。</w:t>
      </w:r>
    </w:p>
    <w:p w14:paraId="2866C4BA">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2、甲方举报电话:023-722852</w:t>
      </w:r>
      <w:r>
        <w:rPr>
          <w:rFonts w:hint="default" w:ascii="Times New Roman" w:hAnsi="Times New Roman" w:eastAsia="仿宋" w:cs="Times New Roman"/>
          <w:color w:val="auto"/>
          <w:sz w:val="28"/>
          <w:szCs w:val="28"/>
          <w:highlight w:val="none"/>
          <w:lang w:val="en-US" w:eastAsia="zh-CN"/>
        </w:rPr>
        <w:t>06</w:t>
      </w:r>
      <w:r>
        <w:rPr>
          <w:rFonts w:hint="default" w:ascii="Times New Roman" w:hAnsi="Times New Roman" w:eastAsia="仿宋" w:cs="Times New Roman"/>
          <w:color w:val="auto"/>
          <w:sz w:val="28"/>
          <w:szCs w:val="28"/>
          <w:highlight w:val="none"/>
        </w:rPr>
        <w:t>；乙方举报</w:t>
      </w:r>
      <w:r>
        <w:rPr>
          <w:rFonts w:hint="eastAsia" w:ascii="Times New Roman" w:hAnsi="Times New Roman" w:eastAsia="仿宋" w:cs="Times New Roman"/>
          <w:color w:val="auto"/>
          <w:sz w:val="28"/>
          <w:szCs w:val="28"/>
          <w:highlight w:val="none"/>
          <w:lang w:val="en-US" w:eastAsia="zh-CN"/>
        </w:rPr>
        <w:t>电话：</w:t>
      </w:r>
      <w:r>
        <w:rPr>
          <w:rFonts w:hint="eastAsia" w:eastAsia="仿宋" w:cs="Times New Roman"/>
          <w:color w:val="auto"/>
          <w:sz w:val="28"/>
          <w:szCs w:val="28"/>
          <w:highlight w:val="none"/>
          <w:lang w:val="en-US" w:eastAsia="zh-CN"/>
        </w:rPr>
        <w:t xml:space="preserve">           </w:t>
      </w:r>
      <w:r>
        <w:rPr>
          <w:rFonts w:hint="default" w:ascii="Times New Roman" w:hAnsi="Times New Roman" w:eastAsia="仿宋" w:cs="Times New Roman"/>
          <w:color w:val="auto"/>
          <w:sz w:val="28"/>
          <w:szCs w:val="28"/>
          <w:highlight w:val="none"/>
        </w:rPr>
        <w:t>。</w:t>
      </w:r>
    </w:p>
    <w:p w14:paraId="56D0BA95">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六、其他</w:t>
      </w:r>
    </w:p>
    <w:p w14:paraId="4AA2665F">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1．因执行本协议所发生的有关争议，适用主合同争议解决条款。</w:t>
      </w:r>
    </w:p>
    <w:p w14:paraId="5C6E9817">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2．本协议签订份数与主合同一致。</w:t>
      </w:r>
    </w:p>
    <w:p w14:paraId="07460DC6">
      <w:pPr>
        <w:keepNext w:val="0"/>
        <w:keepLines w:val="0"/>
        <w:pageBreakBefore w:val="0"/>
        <w:kinsoku/>
        <w:wordWrap/>
        <w:overflowPunct/>
        <w:topLinePunct w:val="0"/>
        <w:autoSpaceDE/>
        <w:autoSpaceDN/>
        <w:bidi w:val="0"/>
        <w:snapToGrid w:val="0"/>
        <w:spacing w:line="400" w:lineRule="exact"/>
        <w:ind w:firstLine="560" w:firstLineChars="200"/>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3．本协议作为附件与主合同同步审批，经双方签字盖章后起生效。</w:t>
      </w:r>
    </w:p>
    <w:p w14:paraId="358D312A">
      <w:pPr>
        <w:pStyle w:val="99"/>
        <w:keepNext w:val="0"/>
        <w:keepLines w:val="0"/>
        <w:pageBreakBefore w:val="0"/>
        <w:kinsoku/>
        <w:wordWrap/>
        <w:overflowPunct/>
        <w:topLinePunct w:val="0"/>
        <w:autoSpaceDE/>
        <w:autoSpaceDN/>
        <w:bidi w:val="0"/>
        <w:spacing w:line="400" w:lineRule="exact"/>
        <w:rPr>
          <w:rFonts w:hint="default"/>
        </w:rPr>
      </w:pPr>
    </w:p>
    <w:p w14:paraId="3D5CF952">
      <w:pPr>
        <w:keepNext w:val="0"/>
        <w:keepLines w:val="0"/>
        <w:pageBreakBefore w:val="0"/>
        <w:kinsoku/>
        <w:wordWrap/>
        <w:overflowPunct/>
        <w:topLinePunct w:val="0"/>
        <w:autoSpaceDE/>
        <w:autoSpaceDN/>
        <w:bidi w:val="0"/>
        <w:snapToGrid w:val="0"/>
        <w:spacing w:line="400" w:lineRule="exact"/>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甲方（公章或合同专用章）：</w:t>
      </w:r>
      <w:r>
        <w:rPr>
          <w:rFonts w:hint="default" w:ascii="Times New Roman" w:hAnsi="Times New Roman" w:eastAsia="仿宋" w:cs="Times New Roman"/>
          <w:color w:val="auto"/>
          <w:sz w:val="28"/>
          <w:szCs w:val="28"/>
          <w:highlight w:val="none"/>
          <w:lang w:val="en-US" w:eastAsia="zh-CN"/>
        </w:rPr>
        <w:t xml:space="preserve">  </w:t>
      </w:r>
      <w:r>
        <w:rPr>
          <w:rFonts w:hint="default" w:ascii="Times New Roman" w:hAnsi="Times New Roman" w:eastAsia="仿宋" w:cs="Times New Roman"/>
          <w:color w:val="auto"/>
          <w:sz w:val="28"/>
          <w:szCs w:val="28"/>
          <w:highlight w:val="none"/>
        </w:rPr>
        <w:t xml:space="preserve">   乙方（公章或合同专用章）：</w:t>
      </w:r>
    </w:p>
    <w:p w14:paraId="6A906727">
      <w:pPr>
        <w:keepNext w:val="0"/>
        <w:keepLines w:val="0"/>
        <w:pageBreakBefore w:val="0"/>
        <w:kinsoku/>
        <w:wordWrap/>
        <w:overflowPunct/>
        <w:topLinePunct w:val="0"/>
        <w:autoSpaceDE/>
        <w:autoSpaceDN/>
        <w:bidi w:val="0"/>
        <w:snapToGrid w:val="0"/>
        <w:spacing w:line="400" w:lineRule="exact"/>
        <w:rPr>
          <w:rFonts w:hint="default" w:ascii="Times New Roman" w:hAnsi="Times New Roman" w:eastAsia="仿宋" w:cs="Times New Roman"/>
          <w:color w:val="auto"/>
          <w:sz w:val="28"/>
          <w:szCs w:val="28"/>
          <w:highlight w:val="none"/>
          <w:lang w:eastAsia="zh-CN"/>
        </w:rPr>
      </w:pPr>
      <w:r>
        <w:rPr>
          <w:rFonts w:hint="default" w:ascii="Times New Roman" w:hAnsi="Times New Roman" w:eastAsia="仿宋" w:cs="Times New Roman"/>
          <w:color w:val="auto"/>
          <w:sz w:val="28"/>
          <w:szCs w:val="28"/>
          <w:highlight w:val="none"/>
        </w:rPr>
        <w:t>法定代表人或授权代表</w:t>
      </w:r>
      <w:r>
        <w:rPr>
          <w:rFonts w:hint="default" w:ascii="Times New Roman" w:hAnsi="Times New Roman" w:eastAsia="仿宋" w:cs="Times New Roman"/>
          <w:color w:val="auto"/>
          <w:sz w:val="28"/>
          <w:szCs w:val="28"/>
          <w:highlight w:val="none"/>
          <w:lang w:eastAsia="zh-CN"/>
        </w:rPr>
        <w:t>：</w:t>
      </w:r>
      <w:r>
        <w:rPr>
          <w:rFonts w:hint="default" w:ascii="Times New Roman" w:hAnsi="Times New Roman" w:eastAsia="仿宋" w:cs="Times New Roman"/>
          <w:color w:val="auto"/>
          <w:sz w:val="28"/>
          <w:szCs w:val="28"/>
          <w:highlight w:val="none"/>
        </w:rPr>
        <w:t xml:space="preserve">    </w:t>
      </w:r>
      <w:r>
        <w:rPr>
          <w:rFonts w:hint="default" w:ascii="Times New Roman" w:hAnsi="Times New Roman" w:eastAsia="仿宋" w:cs="Times New Roman"/>
          <w:color w:val="auto"/>
          <w:sz w:val="28"/>
          <w:szCs w:val="28"/>
          <w:highlight w:val="none"/>
          <w:lang w:val="en-US" w:eastAsia="zh-CN"/>
        </w:rPr>
        <w:t xml:space="preserve">   </w:t>
      </w:r>
      <w:r>
        <w:rPr>
          <w:rFonts w:hint="default" w:ascii="Times New Roman" w:hAnsi="Times New Roman" w:eastAsia="仿宋" w:cs="Times New Roman"/>
          <w:color w:val="auto"/>
          <w:sz w:val="28"/>
          <w:szCs w:val="28"/>
          <w:highlight w:val="none"/>
        </w:rPr>
        <w:t xml:space="preserve">  法定代表人或授权代表</w:t>
      </w:r>
      <w:r>
        <w:rPr>
          <w:rFonts w:hint="default" w:ascii="Times New Roman" w:hAnsi="Times New Roman" w:eastAsia="仿宋" w:cs="Times New Roman"/>
          <w:color w:val="auto"/>
          <w:sz w:val="28"/>
          <w:szCs w:val="28"/>
          <w:highlight w:val="none"/>
          <w:lang w:eastAsia="zh-CN"/>
        </w:rPr>
        <w:t>：</w:t>
      </w:r>
    </w:p>
    <w:p w14:paraId="5050777F">
      <w:pPr>
        <w:keepNext w:val="0"/>
        <w:keepLines w:val="0"/>
        <w:pageBreakBefore w:val="0"/>
        <w:kinsoku/>
        <w:wordWrap/>
        <w:overflowPunct/>
        <w:topLinePunct w:val="0"/>
        <w:autoSpaceDE/>
        <w:autoSpaceDN/>
        <w:bidi w:val="0"/>
        <w:adjustRightInd w:val="0"/>
        <w:snapToGrid w:val="0"/>
        <w:spacing w:line="400" w:lineRule="exact"/>
        <w:jc w:val="left"/>
        <w:textAlignment w:val="baseline"/>
        <w:rPr>
          <w:rFonts w:hint="default" w:ascii="Times New Roman" w:hAnsi="Times New Roman" w:cs="Times New Roman"/>
          <w:sz w:val="32"/>
          <w:szCs w:val="32"/>
        </w:rPr>
      </w:pPr>
    </w:p>
    <w:p w14:paraId="61C4DCB7">
      <w:pPr>
        <w:keepNext w:val="0"/>
        <w:keepLines w:val="0"/>
        <w:pageBreakBefore w:val="0"/>
        <w:kinsoku/>
        <w:wordWrap/>
        <w:overflowPunct/>
        <w:topLinePunct w:val="0"/>
        <w:autoSpaceDE/>
        <w:autoSpaceDN/>
        <w:bidi w:val="0"/>
        <w:adjustRightInd w:val="0"/>
        <w:snapToGrid w:val="0"/>
        <w:spacing w:line="400" w:lineRule="exact"/>
        <w:jc w:val="left"/>
        <w:textAlignment w:val="baseline"/>
        <w:rPr>
          <w:rFonts w:hint="default" w:ascii="Times New Roman" w:hAnsi="Times New Roman" w:cs="Times New Roman"/>
          <w:sz w:val="32"/>
          <w:szCs w:val="32"/>
        </w:rPr>
      </w:pPr>
    </w:p>
    <w:p w14:paraId="0032D1A2">
      <w:pPr>
        <w:pStyle w:val="99"/>
        <w:keepNext w:val="0"/>
        <w:keepLines w:val="0"/>
        <w:pageBreakBefore w:val="0"/>
        <w:kinsoku/>
        <w:wordWrap/>
        <w:overflowPunct/>
        <w:topLinePunct w:val="0"/>
        <w:autoSpaceDE/>
        <w:autoSpaceDN/>
        <w:bidi w:val="0"/>
        <w:spacing w:line="400" w:lineRule="exact"/>
        <w:rPr>
          <w:rFonts w:hint="default"/>
        </w:rPr>
      </w:pPr>
    </w:p>
    <w:p w14:paraId="593371B1">
      <w:pPr>
        <w:keepNext w:val="0"/>
        <w:keepLines w:val="0"/>
        <w:pageBreakBefore w:val="0"/>
        <w:kinsoku/>
        <w:wordWrap/>
        <w:overflowPunct/>
        <w:topLinePunct w:val="0"/>
        <w:autoSpaceDE/>
        <w:autoSpaceDN/>
        <w:bidi w:val="0"/>
        <w:snapToGrid w:val="0"/>
        <w:spacing w:line="400" w:lineRule="exact"/>
        <w:rPr>
          <w:rFonts w:hint="default" w:ascii="Times New Roman" w:hAnsi="Times New Roman" w:eastAsia="仿宋" w:cs="Times New Roman"/>
          <w:color w:val="auto"/>
          <w:sz w:val="28"/>
          <w:szCs w:val="28"/>
          <w:highlight w:val="none"/>
        </w:rPr>
      </w:pPr>
      <w:r>
        <w:rPr>
          <w:rFonts w:hint="default" w:ascii="Times New Roman" w:hAnsi="Times New Roman" w:eastAsia="仿宋" w:cs="Times New Roman"/>
          <w:color w:val="auto"/>
          <w:sz w:val="28"/>
          <w:szCs w:val="28"/>
          <w:highlight w:val="none"/>
        </w:rPr>
        <w:t>签署</w:t>
      </w:r>
      <w:r>
        <w:rPr>
          <w:rFonts w:hint="default" w:ascii="Times New Roman" w:hAnsi="Times New Roman" w:eastAsia="仿宋" w:cs="Times New Roman"/>
          <w:color w:val="auto"/>
          <w:sz w:val="28"/>
          <w:szCs w:val="28"/>
          <w:highlight w:val="none"/>
          <w:lang w:eastAsia="zh-CN"/>
        </w:rPr>
        <w:t>时间</w:t>
      </w:r>
      <w:r>
        <w:rPr>
          <w:rFonts w:hint="default" w:ascii="Times New Roman" w:hAnsi="Times New Roman" w:eastAsia="仿宋" w:cs="Times New Roman"/>
          <w:color w:val="auto"/>
          <w:sz w:val="28"/>
          <w:szCs w:val="28"/>
          <w:highlight w:val="none"/>
        </w:rPr>
        <w:t xml:space="preserve">：     年   月   日 </w:t>
      </w:r>
      <w:r>
        <w:rPr>
          <w:rFonts w:hint="default" w:ascii="Times New Roman" w:hAnsi="Times New Roman" w:eastAsia="仿宋" w:cs="Times New Roman"/>
          <w:color w:val="auto"/>
          <w:sz w:val="28"/>
          <w:szCs w:val="28"/>
          <w:highlight w:val="none"/>
          <w:lang w:val="en-US" w:eastAsia="zh-CN"/>
        </w:rPr>
        <w:t xml:space="preserve">  </w:t>
      </w:r>
      <w:r>
        <w:rPr>
          <w:rFonts w:hint="default" w:ascii="Times New Roman" w:hAnsi="Times New Roman" w:eastAsia="仿宋" w:cs="Times New Roman"/>
          <w:color w:val="auto"/>
          <w:sz w:val="28"/>
          <w:szCs w:val="28"/>
          <w:highlight w:val="none"/>
        </w:rPr>
        <w:t>签署</w:t>
      </w:r>
      <w:r>
        <w:rPr>
          <w:rFonts w:hint="default" w:ascii="Times New Roman" w:hAnsi="Times New Roman" w:eastAsia="仿宋" w:cs="Times New Roman"/>
          <w:color w:val="auto"/>
          <w:sz w:val="28"/>
          <w:szCs w:val="28"/>
          <w:highlight w:val="none"/>
          <w:lang w:eastAsia="zh-CN"/>
        </w:rPr>
        <w:t>时间</w:t>
      </w:r>
      <w:r>
        <w:rPr>
          <w:rFonts w:hint="default" w:ascii="Times New Roman" w:hAnsi="Times New Roman" w:eastAsia="仿宋" w:cs="Times New Roman"/>
          <w:color w:val="auto"/>
          <w:sz w:val="28"/>
          <w:szCs w:val="28"/>
          <w:highlight w:val="none"/>
        </w:rPr>
        <w:t>：    年   月   日</w:t>
      </w:r>
    </w:p>
    <w:p w14:paraId="07020DAB">
      <w:pPr>
        <w:keepNext w:val="0"/>
        <w:keepLines w:val="0"/>
        <w:pageBreakBefore w:val="0"/>
        <w:kinsoku/>
        <w:wordWrap/>
        <w:overflowPunct/>
        <w:topLinePunct w:val="0"/>
        <w:autoSpaceDE/>
        <w:autoSpaceDN/>
        <w:bidi w:val="0"/>
        <w:snapToGrid w:val="0"/>
        <w:spacing w:line="340" w:lineRule="exact"/>
        <w:rPr>
          <w:rFonts w:hint="default" w:ascii="Times New Roman" w:hAnsi="Times New Roman" w:eastAsia="仿宋" w:cs="Times New Roman"/>
          <w:color w:val="auto"/>
          <w:sz w:val="28"/>
          <w:szCs w:val="28"/>
          <w:highlight w:val="none"/>
        </w:rPr>
      </w:pPr>
    </w:p>
    <w:p w14:paraId="3DC14D95">
      <w:pPr>
        <w:keepNext w:val="0"/>
        <w:keepLines w:val="0"/>
        <w:pageBreakBefore w:val="0"/>
        <w:kinsoku/>
        <w:wordWrap/>
        <w:overflowPunct/>
        <w:topLinePunct w:val="0"/>
        <w:autoSpaceDE/>
        <w:autoSpaceDN/>
        <w:bidi w:val="0"/>
        <w:snapToGrid w:val="0"/>
        <w:spacing w:line="340" w:lineRule="exact"/>
        <w:rPr>
          <w:rFonts w:hint="default" w:ascii="Times New Roman" w:hAnsi="Times New Roman" w:eastAsia="仿宋" w:cs="Times New Roman"/>
          <w:color w:val="auto"/>
          <w:sz w:val="28"/>
          <w:szCs w:val="28"/>
          <w:highlight w:val="none"/>
        </w:rPr>
      </w:pPr>
    </w:p>
    <w:p w14:paraId="17149501">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1586016D">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5BCDEC51">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1428C5D4">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0B362E90">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00D9C23E">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354B9E40">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4B868889">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7E35A42D">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32BA4456">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3F037715">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4766FDF4">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2C67B765">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4ABBF74A">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0455C804">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04336C82">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pPr>
    </w:p>
    <w:p w14:paraId="2C2A902E">
      <w:pPr>
        <w:keepNext w:val="0"/>
        <w:keepLines w:val="0"/>
        <w:pageBreakBefore w:val="0"/>
        <w:widowControl w:val="0"/>
        <w:kinsoku/>
        <w:overflowPunct/>
        <w:topLinePunct w:val="0"/>
        <w:autoSpaceDE/>
        <w:autoSpaceDN/>
        <w:bidi w:val="0"/>
        <w:adjustRightInd/>
        <w:spacing w:line="500" w:lineRule="exact"/>
        <w:textAlignment w:val="auto"/>
        <w:outlineLvl w:val="1"/>
        <w:rPr>
          <w:rFonts w:hint="eastAsia" w:ascii="方正黑体_GBK" w:hAnsi="方正黑体_GBK" w:eastAsia="方正黑体_GBK" w:cs="方正黑体_GBK"/>
          <w:b w:val="0"/>
          <w:bCs/>
          <w:sz w:val="32"/>
          <w:szCs w:val="32"/>
          <w:lang w:val="en-US" w:eastAsia="zh-CN"/>
        </w:rPr>
        <w:sectPr>
          <w:footerReference r:id="rId8" w:type="default"/>
          <w:pgSz w:w="11906" w:h="16838"/>
          <w:pgMar w:top="1440" w:right="1800" w:bottom="1440" w:left="1800" w:header="851" w:footer="992" w:gutter="0"/>
          <w:pgNumType w:fmt="decimal"/>
          <w:cols w:space="425" w:num="1"/>
          <w:docGrid w:type="lines" w:linePitch="312" w:charSpace="0"/>
        </w:sectPr>
      </w:pPr>
    </w:p>
    <w:p w14:paraId="2BF1368C">
      <w:pPr>
        <w:keepNext w:val="0"/>
        <w:keepLines w:val="0"/>
        <w:pageBreakBefore w:val="0"/>
        <w:widowControl w:val="0"/>
        <w:kinsoku/>
        <w:overflowPunct/>
        <w:topLinePunct w:val="0"/>
        <w:autoSpaceDE/>
        <w:autoSpaceDN/>
        <w:bidi w:val="0"/>
        <w:adjustRightInd/>
        <w:spacing w:line="500" w:lineRule="exact"/>
        <w:textAlignment w:val="auto"/>
        <w:outlineLvl w:val="1"/>
        <w:rPr>
          <w:rFonts w:hint="default" w:ascii="方正黑体_GBK" w:hAnsi="方正黑体_GBK" w:eastAsia="方正黑体_GBK" w:cs="方正黑体_GBK"/>
          <w:b w:val="0"/>
          <w:bCs/>
          <w:color w:val="auto"/>
          <w:sz w:val="32"/>
          <w:szCs w:val="32"/>
          <w:lang w:val="en-US" w:eastAsia="zh-CN"/>
        </w:rPr>
      </w:pPr>
      <w:r>
        <w:rPr>
          <w:rFonts w:hint="eastAsia" w:ascii="方正黑体_GBK" w:hAnsi="方正黑体_GBK" w:eastAsia="方正黑体_GBK" w:cs="方正黑体_GBK"/>
          <w:b w:val="0"/>
          <w:bCs/>
          <w:color w:val="auto"/>
          <w:sz w:val="32"/>
          <w:szCs w:val="32"/>
          <w:lang w:val="en-US" w:eastAsia="zh-CN"/>
        </w:rPr>
        <w:t>附件2</w:t>
      </w:r>
    </w:p>
    <w:p w14:paraId="678D0CEE">
      <w:pPr>
        <w:pStyle w:val="2"/>
        <w:keepNext w:val="0"/>
        <w:keepLines w:val="0"/>
        <w:pageBreakBefore w:val="0"/>
        <w:widowControl w:val="0"/>
        <w:kinsoku/>
        <w:overflowPunct/>
        <w:topLinePunct w:val="0"/>
        <w:bidi w:val="0"/>
        <w:spacing w:line="500" w:lineRule="exact"/>
        <w:jc w:val="right"/>
        <w:textAlignment w:val="auto"/>
        <w:rPr>
          <w:rFonts w:hint="eastAsia"/>
          <w:color w:val="auto"/>
        </w:rPr>
      </w:pPr>
    </w:p>
    <w:p w14:paraId="14430FBE">
      <w:pPr>
        <w:keepNext w:val="0"/>
        <w:keepLines w:val="0"/>
        <w:pageBreakBefore w:val="0"/>
        <w:widowControl w:val="0"/>
        <w:kinsoku/>
        <w:overflowPunct/>
        <w:topLinePunct w:val="0"/>
        <w:autoSpaceDE/>
        <w:autoSpaceDN/>
        <w:bidi w:val="0"/>
        <w:adjustRightInd/>
        <w:snapToGrid w:val="0"/>
        <w:spacing w:line="50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合规承诺函</w:t>
      </w:r>
    </w:p>
    <w:p w14:paraId="07C42055">
      <w:pPr>
        <w:keepNext w:val="0"/>
        <w:keepLines w:val="0"/>
        <w:pageBreakBefore w:val="0"/>
        <w:widowControl w:val="0"/>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32"/>
          <w:szCs w:val="32"/>
        </w:rPr>
      </w:pPr>
    </w:p>
    <w:p w14:paraId="1CDD1294">
      <w:pPr>
        <w:keepNext w:val="0"/>
        <w:keepLines w:val="0"/>
        <w:pageBreakBefore w:val="0"/>
        <w:widowControl w:val="0"/>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u w:val="single"/>
          <w:lang w:val="en-US" w:eastAsia="zh-CN"/>
        </w:rPr>
        <w:t>重庆涪陵聚龙电力有限公司</w:t>
      </w:r>
      <w:r>
        <w:rPr>
          <w:rFonts w:hint="eastAsia" w:ascii="方正仿宋_GBK" w:hAnsi="方正仿宋_GBK" w:eastAsia="方正仿宋_GBK" w:cs="方正仿宋_GBK"/>
          <w:color w:val="auto"/>
          <w:sz w:val="28"/>
          <w:szCs w:val="28"/>
        </w:rPr>
        <w:t>：</w:t>
      </w:r>
    </w:p>
    <w:p w14:paraId="08252ECD">
      <w:pPr>
        <w:keepNext w:val="0"/>
        <w:keepLines w:val="0"/>
        <w:pageBreakBefore w:val="0"/>
        <w:widowControl w:val="0"/>
        <w:kinsoku/>
        <w:overflowPunct/>
        <w:topLinePunct w:val="0"/>
        <w:autoSpaceDE/>
        <w:autoSpaceDN/>
        <w:bidi w:val="0"/>
        <w:adjustRightInd/>
        <w:snapToGrid w:val="0"/>
        <w:spacing w:line="500" w:lineRule="exact"/>
        <w:ind w:firstLine="48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为与</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建立互惠互利的良好商业合作关系，全面响应</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合规要求，承诺人</w:t>
      </w:r>
      <w:r>
        <w:rPr>
          <w:rFonts w:hint="eastAsia" w:ascii="仿宋" w:hAnsi="仿宋" w:eastAsia="仿宋" w:cs="仿宋"/>
          <w:sz w:val="28"/>
          <w:szCs w:val="28"/>
          <w:u w:val="single"/>
          <w:lang w:val="en-US" w:eastAsia="zh-CN"/>
        </w:rPr>
        <w:t xml:space="preserve">                  </w:t>
      </w:r>
      <w:r>
        <w:rPr>
          <w:rFonts w:hint="eastAsia" w:ascii="方正仿宋_GBK" w:hAnsi="方正仿宋_GBK" w:eastAsia="方正仿宋_GBK" w:cs="方正仿宋_GBK"/>
          <w:color w:val="auto"/>
          <w:sz w:val="28"/>
          <w:szCs w:val="28"/>
        </w:rPr>
        <w:t>特作出以下承诺：</w:t>
      </w:r>
    </w:p>
    <w:p w14:paraId="5A167082">
      <w:pPr>
        <w:keepNext w:val="0"/>
        <w:keepLines w:val="0"/>
        <w:pageBreakBefore w:val="0"/>
        <w:widowControl w:val="0"/>
        <w:numPr>
          <w:ilvl w:val="0"/>
          <w:numId w:val="3"/>
        </w:numPr>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承诺人在</w:t>
      </w:r>
      <w:r>
        <w:rPr>
          <w:rFonts w:hint="eastAsia" w:ascii="方正仿宋_GBK" w:hAnsi="方正仿宋_GBK" w:eastAsia="方正仿宋_GBK" w:cs="方正仿宋_GBK"/>
          <w:color w:val="auto"/>
          <w:sz w:val="28"/>
          <w:szCs w:val="28"/>
          <w:lang w:eastAsia="zh-CN"/>
        </w:rPr>
        <w:t>履行</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lang w:eastAsia="zh-CN"/>
        </w:rPr>
        <w:t>合同</w:t>
      </w:r>
      <w:r>
        <w:rPr>
          <w:rFonts w:hint="eastAsia" w:ascii="方正仿宋_GBK" w:hAnsi="方正仿宋_GBK" w:eastAsia="方正仿宋_GBK" w:cs="方正仿宋_GBK"/>
          <w:color w:val="auto"/>
          <w:sz w:val="28"/>
          <w:szCs w:val="28"/>
          <w:highlight w:val="none"/>
        </w:rPr>
        <w:t>（合同编号</w:t>
      </w:r>
      <w:r>
        <w:rPr>
          <w:rFonts w:hint="eastAsia" w:ascii="Times New Roman" w:hAnsi="Times New Roman" w:eastAsia="仿宋" w:cs="Times New Roman"/>
          <w:sz w:val="28"/>
          <w:szCs w:val="28"/>
          <w:u w:val="single"/>
          <w:lang w:val="en-US" w:eastAsia="zh-CN"/>
        </w:rPr>
        <w:t xml:space="preserve">                         </w:t>
      </w:r>
      <w:r>
        <w:rPr>
          <w:rFonts w:hint="eastAsia" w:ascii="方正仿宋_GBK" w:hAnsi="方正仿宋_GBK" w:eastAsia="方正仿宋_GBK" w:cs="方正仿宋_GBK"/>
          <w:color w:val="auto"/>
          <w:sz w:val="28"/>
          <w:szCs w:val="28"/>
          <w:highlight w:val="none"/>
          <w:u w:val="single"/>
        </w:rPr>
        <w:t>)</w:t>
      </w:r>
      <w:r>
        <w:rPr>
          <w:rFonts w:hint="eastAsia" w:ascii="方正仿宋_GBK" w:hAnsi="方正仿宋_GBK" w:cs="方正仿宋_GBK"/>
          <w:color w:val="auto"/>
          <w:sz w:val="28"/>
          <w:szCs w:val="28"/>
          <w:highlight w:val="none"/>
          <w:u w:val="single"/>
          <w:lang w:eastAsia="zh-CN"/>
        </w:rPr>
        <w:t>、</w:t>
      </w:r>
      <w:r>
        <w:rPr>
          <w:rFonts w:hint="eastAsia" w:ascii="方正仿宋_GBK" w:hAnsi="方正仿宋_GBK" w:eastAsia="方正仿宋_GBK" w:cs="方正仿宋_GBK"/>
          <w:color w:val="auto"/>
          <w:sz w:val="28"/>
          <w:szCs w:val="28"/>
          <w:u w:val="single"/>
          <w:lang w:val="en-US" w:eastAsia="zh-CN"/>
        </w:rPr>
        <w:t>参与投标/报价等</w:t>
      </w:r>
      <w:r>
        <w:rPr>
          <w:rFonts w:hint="eastAsia" w:ascii="方正仿宋_GBK" w:hAnsi="方正仿宋_GBK" w:eastAsia="方正仿宋_GBK" w:cs="方正仿宋_GBK"/>
          <w:color w:val="auto"/>
          <w:sz w:val="28"/>
          <w:szCs w:val="28"/>
          <w:u w:val="none"/>
          <w:lang w:val="en-US" w:eastAsia="zh-CN"/>
        </w:rPr>
        <w:t>（简称“商业事项”）</w:t>
      </w:r>
      <w:r>
        <w:rPr>
          <w:rFonts w:hint="eastAsia" w:ascii="方正仿宋_GBK" w:hAnsi="方正仿宋_GBK" w:eastAsia="方正仿宋_GBK" w:cs="方正仿宋_GBK"/>
          <w:color w:val="auto"/>
          <w:sz w:val="28"/>
          <w:szCs w:val="28"/>
        </w:rPr>
        <w:t>过程中</w:t>
      </w:r>
      <w:r>
        <w:rPr>
          <w:rFonts w:hint="eastAsia" w:ascii="方正仿宋_GBK" w:hAnsi="方正仿宋_GBK" w:cs="方正仿宋_GBK"/>
          <w:color w:val="auto"/>
          <w:sz w:val="28"/>
          <w:szCs w:val="28"/>
          <w:lang w:eastAsia="zh-CN"/>
        </w:rPr>
        <w:t>，</w:t>
      </w:r>
      <w:r>
        <w:rPr>
          <w:rFonts w:hint="eastAsia" w:ascii="方正仿宋_GBK" w:hAnsi="方正仿宋_GBK" w:eastAsia="方正仿宋_GBK" w:cs="方正仿宋_GBK"/>
          <w:color w:val="auto"/>
          <w:sz w:val="28"/>
          <w:szCs w:val="28"/>
        </w:rPr>
        <w:t>严格遵守中国、业务所在国，以及依据长臂管辖原则等可以适用的法律、法规、行业管理规范、业务监管要求、条例和惯例等，包括但不限于反欺诈、反贿赂、反垄断、反不正当竞争、外汇管制、反洗钱、知识产权保护、职业健康安全、劳工保护、环境保护、数据安全、个人信息保护和国家安全等方面的任何规定。承诺人未实施且不会实施任何可能使</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承担法律责任的行为。</w:t>
      </w:r>
    </w:p>
    <w:p w14:paraId="03C2506F">
      <w:pPr>
        <w:keepNext w:val="0"/>
        <w:keepLines w:val="0"/>
        <w:pageBreakBefore w:val="0"/>
        <w:widowControl w:val="0"/>
        <w:numPr>
          <w:ilvl w:val="0"/>
          <w:numId w:val="3"/>
        </w:numPr>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承诺人不向</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及员工实施任何形式的贿赂行为，即以影响另一方与</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业务相关的行为或决定为目的，直接或间接地提供、给予、接受或要求任何有价物或其他好处。</w:t>
      </w:r>
    </w:p>
    <w:p w14:paraId="5551AAAB">
      <w:pPr>
        <w:keepNext w:val="0"/>
        <w:keepLines w:val="0"/>
        <w:pageBreakBefore w:val="0"/>
        <w:widowControl w:val="0"/>
        <w:numPr>
          <w:ilvl w:val="0"/>
          <w:numId w:val="3"/>
        </w:numPr>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承诺人不以影响商业决策或获取不正当利益为目的，直接或间接向政府官员、其他商业主体等任何人士或相关方提供、支付、给予、要求或承诺提供、支付、给予任何形式的贿赂、回扣及特殊待遇。</w:t>
      </w:r>
    </w:p>
    <w:p w14:paraId="52DBD7E9">
      <w:pPr>
        <w:keepNext w:val="0"/>
        <w:keepLines w:val="0"/>
        <w:pageBreakBefore w:val="0"/>
        <w:widowControl w:val="0"/>
        <w:numPr>
          <w:ilvl w:val="0"/>
          <w:numId w:val="3"/>
        </w:numPr>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承诺人将全面协助和配合</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的所有商业行为符合合规要求，并维持准确的财务记录，真实准确地在财务账簿中反映其与</w:t>
      </w:r>
      <w:r>
        <w:rPr>
          <w:rFonts w:hint="eastAsia" w:ascii="方正仿宋_GBK" w:hAnsi="方正仿宋_GBK" w:eastAsia="方正仿宋_GBK" w:cs="方正仿宋_GBK"/>
          <w:color w:val="auto"/>
          <w:sz w:val="28"/>
          <w:szCs w:val="28"/>
          <w:u w:val="none"/>
          <w:lang w:val="en-US" w:eastAsia="zh-CN"/>
        </w:rPr>
        <w:t>履行合同</w:t>
      </w:r>
      <w:r>
        <w:rPr>
          <w:rFonts w:hint="eastAsia" w:ascii="方正仿宋_GBK" w:hAnsi="方正仿宋_GBK" w:cs="方正仿宋_GBK"/>
          <w:color w:val="auto"/>
          <w:sz w:val="28"/>
          <w:szCs w:val="28"/>
          <w:u w:val="none"/>
          <w:lang w:val="en-US" w:eastAsia="zh-CN"/>
        </w:rPr>
        <w:t>、</w:t>
      </w:r>
      <w:r>
        <w:rPr>
          <w:rFonts w:hint="eastAsia" w:ascii="方正仿宋_GBK" w:hAnsi="方正仿宋_GBK" w:eastAsia="方正仿宋_GBK" w:cs="方正仿宋_GBK"/>
          <w:color w:val="auto"/>
          <w:sz w:val="28"/>
          <w:szCs w:val="28"/>
          <w:u w:val="none"/>
          <w:lang w:val="en-US" w:eastAsia="zh-CN"/>
        </w:rPr>
        <w:t>参与投标/报价等</w:t>
      </w:r>
      <w:r>
        <w:rPr>
          <w:rFonts w:hint="eastAsia" w:ascii="方正仿宋_GBK" w:hAnsi="方正仿宋_GBK" w:eastAsia="方正仿宋_GBK" w:cs="方正仿宋_GBK"/>
          <w:color w:val="auto"/>
          <w:sz w:val="28"/>
          <w:szCs w:val="28"/>
        </w:rPr>
        <w:t>有关的所有费用支出，并妥善保留相关财务凭证。</w:t>
      </w:r>
    </w:p>
    <w:p w14:paraId="4F07F8BE">
      <w:pPr>
        <w:keepNext w:val="0"/>
        <w:keepLines w:val="0"/>
        <w:pageBreakBefore w:val="0"/>
        <w:widowControl w:val="0"/>
        <w:numPr>
          <w:ilvl w:val="0"/>
          <w:numId w:val="3"/>
        </w:numPr>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lang w:val="en-US" w:eastAsia="zh-CN"/>
        </w:rPr>
        <w:t>贵司及贵司</w:t>
      </w:r>
      <w:r>
        <w:rPr>
          <w:rFonts w:hint="eastAsia" w:ascii="方正仿宋_GBK" w:hAnsi="方正仿宋_GBK" w:eastAsia="方正仿宋_GBK" w:cs="方正仿宋_GBK"/>
          <w:color w:val="auto"/>
          <w:sz w:val="28"/>
          <w:szCs w:val="28"/>
        </w:rPr>
        <w:t>聘请的第三方有权对承诺人遵守本承诺函的情况开展审计。承诺人同意配合</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的合规审计，包括配合就相关事项进行解释说明、</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或</w:t>
      </w:r>
      <w:r>
        <w:rPr>
          <w:rFonts w:hint="eastAsia" w:ascii="方正仿宋_GBK" w:hAnsi="方正仿宋_GBK" w:eastAsia="方正仿宋_GBK" w:cs="方正仿宋_GBK"/>
          <w:color w:val="auto"/>
          <w:sz w:val="28"/>
          <w:szCs w:val="28"/>
          <w:lang w:val="en-US" w:eastAsia="zh-CN"/>
        </w:rPr>
        <w:t>贵</w:t>
      </w:r>
      <w:r>
        <w:rPr>
          <w:rFonts w:hint="eastAsia" w:ascii="方正仿宋_GBK" w:hAnsi="方正仿宋_GBK" w:eastAsia="方正仿宋_GBK" w:cs="方正仿宋_GBK"/>
          <w:color w:val="auto"/>
          <w:sz w:val="28"/>
          <w:szCs w:val="28"/>
        </w:rPr>
        <w:t>司聘请的第三方提供与</w:t>
      </w:r>
      <w:r>
        <w:rPr>
          <w:rFonts w:hint="eastAsia" w:ascii="方正仿宋_GBK" w:hAnsi="方正仿宋_GBK" w:eastAsia="方正仿宋_GBK" w:cs="方正仿宋_GBK"/>
          <w:color w:val="auto"/>
          <w:sz w:val="28"/>
          <w:szCs w:val="28"/>
          <w:lang w:val="en-US" w:eastAsia="zh-CN"/>
        </w:rPr>
        <w:t>商业事项</w:t>
      </w:r>
      <w:r>
        <w:rPr>
          <w:rFonts w:hint="eastAsia" w:ascii="方正仿宋_GBK" w:hAnsi="方正仿宋_GBK" w:eastAsia="方正仿宋_GBK" w:cs="方正仿宋_GBK"/>
          <w:color w:val="auto"/>
          <w:sz w:val="28"/>
          <w:szCs w:val="28"/>
        </w:rPr>
        <w:t>相关的</w:t>
      </w:r>
      <w:r>
        <w:rPr>
          <w:rFonts w:hint="eastAsia" w:ascii="方正仿宋_GBK" w:hAnsi="方正仿宋_GBK" w:eastAsia="方正仿宋_GBK" w:cs="方正仿宋_GBK"/>
          <w:color w:val="auto"/>
          <w:sz w:val="28"/>
          <w:szCs w:val="28"/>
          <w:lang w:val="en-US" w:eastAsia="zh-CN"/>
        </w:rPr>
        <w:t>往来文件</w:t>
      </w:r>
      <w:r>
        <w:rPr>
          <w:rFonts w:hint="eastAsia" w:ascii="方正仿宋_GBK" w:hAnsi="方正仿宋_GBK" w:eastAsia="方正仿宋_GBK" w:cs="方正仿宋_GBK"/>
          <w:color w:val="auto"/>
          <w:sz w:val="28"/>
          <w:szCs w:val="28"/>
        </w:rPr>
        <w:t>、交易记录、财务账簿及其他会计凭证等资料。若相关的财务记录不准确，或者出现拒绝提供、隐瞒或提供虚假信息，或者存在行贿受贿、虚假报销等违规行为的嫌疑时</w:t>
      </w:r>
      <w:r>
        <w:rPr>
          <w:rFonts w:hint="eastAsia" w:ascii="方正仿宋_GBK" w:hAnsi="方正仿宋_GBK" w:eastAsia="方正仿宋_GBK" w:cs="方正仿宋_GBK"/>
          <w:color w:val="auto"/>
          <w:sz w:val="28"/>
          <w:szCs w:val="28"/>
          <w:lang w:eastAsia="zh-CN"/>
        </w:rPr>
        <w:t>，</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均有权单方面以书面通知形式</w:t>
      </w:r>
      <w:r>
        <w:rPr>
          <w:rFonts w:hint="eastAsia" w:ascii="方正仿宋_GBK" w:hAnsi="方正仿宋_GBK" w:eastAsia="方正仿宋_GBK" w:cs="方正仿宋_GBK"/>
          <w:color w:val="auto"/>
          <w:sz w:val="28"/>
          <w:szCs w:val="28"/>
          <w:lang w:val="en-US" w:eastAsia="zh-CN"/>
        </w:rPr>
        <w:t>终止该商业事项</w:t>
      </w:r>
      <w:r>
        <w:rPr>
          <w:rFonts w:hint="eastAsia" w:ascii="方正仿宋_GBK" w:hAnsi="方正仿宋_GBK" w:eastAsia="方正仿宋_GBK" w:cs="方正仿宋_GBK"/>
          <w:color w:val="auto"/>
          <w:sz w:val="28"/>
          <w:szCs w:val="28"/>
        </w:rPr>
        <w:t>。</w:t>
      </w:r>
    </w:p>
    <w:p w14:paraId="37DEAB8E">
      <w:pPr>
        <w:keepNext w:val="0"/>
        <w:keepLines w:val="0"/>
        <w:pageBreakBefore w:val="0"/>
        <w:widowControl w:val="0"/>
        <w:numPr>
          <w:ilvl w:val="0"/>
          <w:numId w:val="3"/>
        </w:numPr>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承诺人在开展与</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相关的业务中，如果需要再次聘请次级代理商、分销商、分包商或其他商业伙伴，应尽最大努力对业务中再聘请的第三方进行合规管理。（本条仅限于总承包商、代理商签署）</w:t>
      </w:r>
    </w:p>
    <w:p w14:paraId="34EB6A90">
      <w:pPr>
        <w:keepNext w:val="0"/>
        <w:keepLines w:val="0"/>
        <w:pageBreakBefore w:val="0"/>
        <w:widowControl w:val="0"/>
        <w:numPr>
          <w:ilvl w:val="0"/>
          <w:numId w:val="3"/>
        </w:numPr>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承诺人所提供的任何声明、信息和业务陈述都是准确真实的。若相关信息存在任何更新或变化，将及时书面通知</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，并根据</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要求提供更新后的相关材料。</w:t>
      </w:r>
    </w:p>
    <w:p w14:paraId="387229A4">
      <w:pPr>
        <w:keepNext w:val="0"/>
        <w:keepLines w:val="0"/>
        <w:pageBreakBefore w:val="0"/>
        <w:widowControl w:val="0"/>
        <w:numPr>
          <w:ilvl w:val="0"/>
          <w:numId w:val="3"/>
        </w:numPr>
        <w:kinsoku/>
        <w:overflowPunct/>
        <w:topLinePunct w:val="0"/>
        <w:autoSpaceDE/>
        <w:autoSpaceDN/>
        <w:bidi w:val="0"/>
        <w:adjustRightInd/>
        <w:snapToGrid w:val="0"/>
        <w:spacing w:line="500" w:lineRule="exac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承诺人违反以上承诺，应承担违约责任，包括但不限于赔偿</w:t>
      </w:r>
      <w:r>
        <w:rPr>
          <w:rFonts w:hint="eastAsia" w:ascii="方正仿宋_GBK" w:hAnsi="方正仿宋_GBK" w:eastAsia="方正仿宋_GBK" w:cs="方正仿宋_GBK"/>
          <w:color w:val="auto"/>
          <w:sz w:val="28"/>
          <w:szCs w:val="28"/>
          <w:lang w:val="en-US" w:eastAsia="zh-CN"/>
        </w:rPr>
        <w:t>贵司</w:t>
      </w:r>
      <w:r>
        <w:rPr>
          <w:rFonts w:hint="eastAsia" w:ascii="方正仿宋_GBK" w:hAnsi="方正仿宋_GBK" w:eastAsia="方正仿宋_GBK" w:cs="方正仿宋_GBK"/>
          <w:color w:val="auto"/>
          <w:sz w:val="28"/>
          <w:szCs w:val="28"/>
        </w:rPr>
        <w:t>因此产生的全部损失。</w:t>
      </w:r>
    </w:p>
    <w:p w14:paraId="27E1615C">
      <w:pPr>
        <w:keepNext w:val="0"/>
        <w:keepLines w:val="0"/>
        <w:pageBreakBefore w:val="0"/>
        <w:widowControl w:val="0"/>
        <w:kinsoku/>
        <w:overflowPunct/>
        <w:topLinePunct w:val="0"/>
        <w:autoSpaceDE/>
        <w:autoSpaceDN/>
        <w:bidi w:val="0"/>
        <w:adjustRightInd/>
        <w:snapToGrid w:val="0"/>
        <w:spacing w:line="500" w:lineRule="exact"/>
        <w:ind w:firstLine="48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特此承诺。</w:t>
      </w:r>
    </w:p>
    <w:p w14:paraId="4765BC3A">
      <w:pPr>
        <w:keepNext w:val="0"/>
        <w:keepLines w:val="0"/>
        <w:pageBreakBefore w:val="0"/>
        <w:widowControl w:val="0"/>
        <w:kinsoku/>
        <w:overflowPunct/>
        <w:topLinePunct w:val="0"/>
        <w:autoSpaceDE/>
        <w:autoSpaceDN/>
        <w:bidi w:val="0"/>
        <w:adjustRightInd/>
        <w:snapToGrid w:val="0"/>
        <w:spacing w:line="500" w:lineRule="exact"/>
        <w:ind w:firstLine="480"/>
        <w:textAlignment w:val="auto"/>
        <w:rPr>
          <w:rFonts w:hint="eastAsia" w:ascii="方正仿宋_GBK" w:hAnsi="方正仿宋_GBK" w:eastAsia="方正仿宋_GBK" w:cs="方正仿宋_GBK"/>
          <w:color w:val="auto"/>
          <w:sz w:val="28"/>
          <w:szCs w:val="28"/>
        </w:rPr>
      </w:pPr>
    </w:p>
    <w:p w14:paraId="4CC5ECB0">
      <w:pPr>
        <w:keepNext w:val="0"/>
        <w:keepLines w:val="0"/>
        <w:pageBreakBefore w:val="0"/>
        <w:widowControl w:val="0"/>
        <w:kinsoku/>
        <w:overflowPunct/>
        <w:topLinePunct w:val="0"/>
        <w:autoSpaceDE/>
        <w:autoSpaceDN/>
        <w:bidi w:val="0"/>
        <w:adjustRightInd/>
        <w:snapToGrid w:val="0"/>
        <w:spacing w:line="500" w:lineRule="exact"/>
        <w:ind w:firstLine="480"/>
        <w:textAlignment w:val="auto"/>
        <w:rPr>
          <w:rFonts w:hint="eastAsia" w:ascii="方正仿宋_GBK" w:hAnsi="方正仿宋_GBK" w:eastAsia="方正仿宋_GBK" w:cs="方正仿宋_GBK"/>
          <w:color w:val="auto"/>
          <w:sz w:val="28"/>
          <w:szCs w:val="28"/>
        </w:rPr>
      </w:pPr>
    </w:p>
    <w:p w14:paraId="6A549F1C">
      <w:pPr>
        <w:keepNext w:val="0"/>
        <w:keepLines w:val="0"/>
        <w:pageBreakBefore w:val="0"/>
        <w:widowControl w:val="0"/>
        <w:kinsoku/>
        <w:overflowPunct/>
        <w:topLinePunct w:val="0"/>
        <w:autoSpaceDE/>
        <w:autoSpaceDN/>
        <w:bidi w:val="0"/>
        <w:adjustRightInd/>
        <w:snapToGrid w:val="0"/>
        <w:spacing w:line="500" w:lineRule="exact"/>
        <w:ind w:firstLine="480"/>
        <w:textAlignment w:val="auto"/>
        <w:rPr>
          <w:rFonts w:hint="eastAsia" w:ascii="方正仿宋_GBK" w:hAnsi="方正仿宋_GBK" w:eastAsia="方正仿宋_GBK" w:cs="方正仿宋_GBK"/>
          <w:color w:val="auto"/>
          <w:sz w:val="28"/>
          <w:szCs w:val="28"/>
        </w:rPr>
      </w:pPr>
    </w:p>
    <w:p w14:paraId="7FDA8EA7">
      <w:pPr>
        <w:keepNext w:val="0"/>
        <w:keepLines w:val="0"/>
        <w:pageBreakBefore w:val="0"/>
        <w:widowControl w:val="0"/>
        <w:kinsoku/>
        <w:overflowPunct/>
        <w:topLinePunct w:val="0"/>
        <w:autoSpaceDE/>
        <w:autoSpaceDN/>
        <w:bidi w:val="0"/>
        <w:adjustRightInd/>
        <w:snapToGrid w:val="0"/>
        <w:spacing w:line="500" w:lineRule="exact"/>
        <w:ind w:firstLine="480"/>
        <w:textAlignment w:val="auto"/>
        <w:rPr>
          <w:rFonts w:hint="eastAsia" w:ascii="方正仿宋_GBK" w:hAnsi="方正仿宋_GBK" w:eastAsia="方正仿宋_GBK" w:cs="方正仿宋_GBK"/>
          <w:color w:val="auto"/>
          <w:sz w:val="28"/>
          <w:szCs w:val="28"/>
        </w:rPr>
      </w:pPr>
    </w:p>
    <w:p w14:paraId="04E83D04">
      <w:pPr>
        <w:keepNext w:val="0"/>
        <w:keepLines w:val="0"/>
        <w:pageBreakBefore w:val="0"/>
        <w:widowControl w:val="0"/>
        <w:kinsoku/>
        <w:wordWrap w:val="0"/>
        <w:overflowPunct/>
        <w:topLinePunct w:val="0"/>
        <w:autoSpaceDE/>
        <w:autoSpaceDN/>
        <w:bidi w:val="0"/>
        <w:adjustRightInd/>
        <w:snapToGrid w:val="0"/>
        <w:spacing w:line="500" w:lineRule="exact"/>
        <w:jc w:val="center"/>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 xml:space="preserve">           </w:t>
      </w:r>
      <w:r>
        <w:rPr>
          <w:rFonts w:hint="eastAsia" w:ascii="方正仿宋_GBK" w:hAnsi="方正仿宋_GBK" w:eastAsia="方正仿宋_GBK" w:cs="方正仿宋_GBK"/>
          <w:color w:val="auto"/>
          <w:sz w:val="28"/>
          <w:szCs w:val="28"/>
        </w:rPr>
        <w:t>承诺人：</w:t>
      </w:r>
      <w:r>
        <w:rPr>
          <w:rFonts w:hint="eastAsia" w:ascii="仿宋" w:hAnsi="仿宋" w:eastAsia="仿宋" w:cs="仿宋"/>
          <w:sz w:val="28"/>
          <w:szCs w:val="28"/>
          <w:u w:val="single"/>
          <w:lang w:val="en-US" w:eastAsia="zh-CN"/>
        </w:rPr>
        <w:t xml:space="preserve">                           </w:t>
      </w:r>
      <w:r>
        <w:rPr>
          <w:rFonts w:hint="eastAsia" w:ascii="方正仿宋_GBK" w:hAnsi="方正仿宋_GBK" w:eastAsia="方正仿宋_GBK" w:cs="方正仿宋_GBK"/>
          <w:color w:val="auto"/>
          <w:sz w:val="28"/>
          <w:szCs w:val="28"/>
        </w:rPr>
        <w:t>（公章</w:t>
      </w:r>
      <w:r>
        <w:rPr>
          <w:rFonts w:hint="eastAsia" w:ascii="方正仿宋_GBK" w:hAnsi="方正仿宋_GBK" w:eastAsia="方正仿宋_GBK" w:cs="方正仿宋_GBK"/>
          <w:color w:val="auto"/>
          <w:sz w:val="28"/>
          <w:szCs w:val="28"/>
          <w:lang w:val="en-US" w:eastAsia="zh-CN"/>
        </w:rPr>
        <w:t>或合同章</w:t>
      </w:r>
      <w:r>
        <w:rPr>
          <w:rFonts w:hint="eastAsia" w:ascii="方正仿宋_GBK" w:hAnsi="方正仿宋_GBK" w:eastAsia="方正仿宋_GBK" w:cs="方正仿宋_GBK"/>
          <w:color w:val="auto"/>
          <w:sz w:val="28"/>
          <w:szCs w:val="28"/>
        </w:rPr>
        <w:t>）</w:t>
      </w:r>
    </w:p>
    <w:p w14:paraId="686D7720">
      <w:pPr>
        <w:keepNext w:val="0"/>
        <w:keepLines w:val="0"/>
        <w:pageBreakBefore w:val="0"/>
        <w:widowControl w:val="0"/>
        <w:kinsoku/>
        <w:wordWrap w:val="0"/>
        <w:overflowPunct/>
        <w:topLinePunct w:val="0"/>
        <w:autoSpaceDE/>
        <w:autoSpaceDN/>
        <w:bidi w:val="0"/>
        <w:adjustRightInd/>
        <w:snapToGrid w:val="0"/>
        <w:spacing w:line="500" w:lineRule="exact"/>
        <w:ind w:firstLine="1680" w:firstLineChars="600"/>
        <w:jc w:val="both"/>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法定代表人或其委托代理人签字：</w:t>
      </w:r>
    </w:p>
    <w:p w14:paraId="2956F044">
      <w:pPr>
        <w:keepNext w:val="0"/>
        <w:keepLines w:val="0"/>
        <w:pageBreakBefore w:val="0"/>
        <w:widowControl w:val="0"/>
        <w:kinsoku/>
        <w:wordWrap w:val="0"/>
        <w:overflowPunct/>
        <w:topLinePunct w:val="0"/>
        <w:autoSpaceDE/>
        <w:autoSpaceDN/>
        <w:bidi w:val="0"/>
        <w:adjustRightInd/>
        <w:snapToGrid w:val="0"/>
        <w:spacing w:line="500" w:lineRule="exact"/>
        <w:ind w:firstLine="1680" w:firstLineChars="600"/>
        <w:jc w:val="both"/>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 xml:space="preserve">         </w:t>
      </w:r>
    </w:p>
    <w:p w14:paraId="35FF7076">
      <w:pPr>
        <w:keepNext w:val="0"/>
        <w:keepLines w:val="0"/>
        <w:pageBreakBefore w:val="0"/>
        <w:widowControl w:val="0"/>
        <w:tabs>
          <w:tab w:val="left" w:pos="5893"/>
        </w:tabs>
        <w:kinsoku/>
        <w:wordWrap w:val="0"/>
        <w:overflowPunct/>
        <w:topLinePunct w:val="0"/>
        <w:autoSpaceDE/>
        <w:autoSpaceDN/>
        <w:bidi w:val="0"/>
        <w:adjustRightInd/>
        <w:spacing w:line="500" w:lineRule="exact"/>
        <w:jc w:val="right"/>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z w:val="28"/>
          <w:szCs w:val="28"/>
        </w:rPr>
        <w:t xml:space="preserve">年   </w:t>
      </w:r>
      <w:r>
        <w:rPr>
          <w:rFonts w:hint="eastAsia" w:ascii="方正仿宋_GBK" w:hAnsi="方正仿宋_GBK" w:cs="方正仿宋_GBK"/>
          <w:color w:val="auto"/>
          <w:sz w:val="28"/>
          <w:szCs w:val="28"/>
          <w:lang w:eastAsia="zh-CN"/>
        </w:rPr>
        <w:t>　</w:t>
      </w:r>
      <w:r>
        <w:rPr>
          <w:rFonts w:hint="eastAsia" w:ascii="方正仿宋_GBK" w:hAnsi="方正仿宋_GBK" w:eastAsia="方正仿宋_GBK" w:cs="方正仿宋_GBK"/>
          <w:color w:val="auto"/>
          <w:sz w:val="28"/>
          <w:szCs w:val="28"/>
        </w:rPr>
        <w:t xml:space="preserve">月   </w:t>
      </w:r>
      <w:r>
        <w:rPr>
          <w:rFonts w:hint="eastAsia" w:ascii="方正仿宋_GBK" w:hAnsi="方正仿宋_GBK" w:cs="方正仿宋_GBK"/>
          <w:color w:val="auto"/>
          <w:sz w:val="28"/>
          <w:szCs w:val="28"/>
          <w:lang w:eastAsia="zh-CN"/>
        </w:rPr>
        <w:t>　</w:t>
      </w:r>
      <w:r>
        <w:rPr>
          <w:rFonts w:hint="eastAsia" w:ascii="方正仿宋_GBK" w:hAnsi="方正仿宋_GBK" w:eastAsia="方正仿宋_GBK" w:cs="方正仿宋_GBK"/>
          <w:color w:val="auto"/>
          <w:sz w:val="28"/>
          <w:szCs w:val="28"/>
        </w:rPr>
        <w:t>日</w:t>
      </w:r>
      <w:r>
        <w:rPr>
          <w:rFonts w:hint="eastAsia" w:ascii="方正仿宋_GBK" w:hAnsi="方正仿宋_GBK" w:eastAsia="方正仿宋_GBK" w:cs="方正仿宋_GBK"/>
          <w:color w:val="auto"/>
          <w:sz w:val="28"/>
          <w:szCs w:val="28"/>
          <w:lang w:val="en-US" w:eastAsia="zh-CN"/>
        </w:rPr>
        <w:t xml:space="preserve">        </w:t>
      </w:r>
    </w:p>
    <w:p w14:paraId="79AB410A">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仿宋" w:hAnsi="仿宋" w:eastAsia="仿宋" w:cs="仿宋"/>
          <w:color w:val="auto"/>
          <w:sz w:val="28"/>
          <w:szCs w:val="28"/>
          <w:highlight w:val="none"/>
        </w:rPr>
      </w:pPr>
    </w:p>
    <w:p w14:paraId="018A9F77">
      <w:pPr>
        <w:spacing w:line="360" w:lineRule="auto"/>
        <w:ind w:left="0" w:leftChars="0" w:firstLine="0" w:firstLineChars="0"/>
        <w:rPr>
          <w:rFonts w:hint="eastAsia" w:ascii="仿宋" w:hAnsi="仿宋" w:eastAsia="仿宋" w:cs="仿宋"/>
          <w:b/>
          <w:bCs/>
          <w:sz w:val="24"/>
          <w:szCs w:val="24"/>
          <w:lang w:val="en-US" w:eastAsia="zh-CN"/>
        </w:rPr>
        <w:sectPr>
          <w:headerReference r:id="rId9" w:type="default"/>
          <w:footerReference r:id="rId10" w:type="default"/>
          <w:pgSz w:w="11905" w:h="16838"/>
          <w:pgMar w:top="1417" w:right="1474" w:bottom="1417" w:left="1531" w:header="1191" w:footer="1134" w:gutter="0"/>
          <w:pgBorders>
            <w:top w:val="none" w:sz="0" w:space="0"/>
            <w:left w:val="none" w:sz="0" w:space="0"/>
            <w:bottom w:val="none" w:sz="0" w:space="0"/>
            <w:right w:val="none" w:sz="0" w:space="0"/>
          </w:pgBorders>
          <w:pgNumType w:fmt="decimal"/>
          <w:cols w:space="720" w:num="1"/>
          <w:rtlGutter w:val="0"/>
          <w:docGrid w:linePitch="312" w:charSpace="0"/>
        </w:sectPr>
      </w:pPr>
    </w:p>
    <w:bookmarkEnd w:id="527"/>
    <w:bookmarkEnd w:id="528"/>
    <w:bookmarkEnd w:id="529"/>
    <w:bookmarkEnd w:id="530"/>
    <w:bookmarkEnd w:id="548"/>
    <w:bookmarkEnd w:id="549"/>
    <w:p w14:paraId="51E81107">
      <w:pPr>
        <w:pStyle w:val="3"/>
        <w:jc w:val="center"/>
      </w:pPr>
      <w:bookmarkStart w:id="710" w:name="_Toc80884533"/>
      <w:r>
        <w:rPr>
          <w:rFonts w:hint="eastAsia"/>
        </w:rPr>
        <w:t>第</w:t>
      </w:r>
      <w:r>
        <w:rPr>
          <w:rFonts w:hint="eastAsia"/>
          <w:lang w:val="en-US" w:eastAsia="zh-CN"/>
        </w:rPr>
        <w:t>二</w:t>
      </w:r>
      <w:r>
        <w:rPr>
          <w:rFonts w:hint="eastAsia"/>
        </w:rPr>
        <w:t>卷</w:t>
      </w:r>
    </w:p>
    <w:p w14:paraId="276B282D">
      <w:pPr>
        <w:pStyle w:val="3"/>
        <w:bidi w:val="0"/>
        <w:jc w:val="center"/>
        <w:rPr>
          <w:rFonts w:hint="eastAsia"/>
        </w:rPr>
      </w:pPr>
    </w:p>
    <w:p w14:paraId="244F3C66">
      <w:pPr>
        <w:pStyle w:val="3"/>
        <w:bidi w:val="0"/>
        <w:jc w:val="center"/>
        <w:rPr>
          <w:rFonts w:hint="eastAsia"/>
        </w:rPr>
      </w:pPr>
    </w:p>
    <w:p w14:paraId="1D7E0C71">
      <w:pPr>
        <w:pStyle w:val="3"/>
        <w:bidi w:val="0"/>
        <w:jc w:val="center"/>
        <w:rPr>
          <w:rFonts w:hint="eastAsia"/>
        </w:rPr>
      </w:pPr>
    </w:p>
    <w:p w14:paraId="7CE30AA6">
      <w:pPr>
        <w:pStyle w:val="3"/>
        <w:bidi w:val="0"/>
        <w:jc w:val="center"/>
        <w:rPr>
          <w:rFonts w:hint="eastAsia"/>
        </w:rPr>
      </w:pPr>
    </w:p>
    <w:p w14:paraId="08444E11">
      <w:pPr>
        <w:pStyle w:val="3"/>
        <w:bidi w:val="0"/>
        <w:jc w:val="center"/>
        <w:rPr>
          <w:rFonts w:hint="eastAsia"/>
        </w:rPr>
      </w:pPr>
    </w:p>
    <w:p w14:paraId="7AA9ED9F">
      <w:pPr>
        <w:pStyle w:val="3"/>
        <w:bidi w:val="0"/>
        <w:jc w:val="center"/>
        <w:rPr>
          <w:rFonts w:hint="eastAsia"/>
        </w:rPr>
      </w:pPr>
    </w:p>
    <w:p w14:paraId="003D7A5B">
      <w:pPr>
        <w:pStyle w:val="3"/>
        <w:bidi w:val="0"/>
        <w:jc w:val="center"/>
        <w:rPr>
          <w:rFonts w:hint="eastAsia"/>
        </w:rPr>
      </w:pPr>
    </w:p>
    <w:p w14:paraId="1C3151FB">
      <w:pPr>
        <w:pStyle w:val="3"/>
        <w:bidi w:val="0"/>
        <w:jc w:val="center"/>
        <w:rPr>
          <w:rFonts w:hint="eastAsia"/>
        </w:rPr>
      </w:pPr>
      <w:r>
        <w:rPr>
          <w:rFonts w:hint="eastAsia"/>
        </w:rPr>
        <w:t>第</w:t>
      </w:r>
      <w:r>
        <w:rPr>
          <w:rFonts w:hint="eastAsia"/>
          <w:lang w:val="en-US" w:eastAsia="zh-CN"/>
        </w:rPr>
        <w:t>六</w:t>
      </w:r>
      <w:r>
        <w:rPr>
          <w:rFonts w:hint="eastAsia"/>
        </w:rPr>
        <w:t xml:space="preserve">章  </w:t>
      </w:r>
      <w:r>
        <w:rPr>
          <w:rFonts w:hint="eastAsia"/>
          <w:lang w:eastAsia="zh-CN"/>
        </w:rPr>
        <w:t>响应文件</w:t>
      </w:r>
      <w:r>
        <w:rPr>
          <w:rFonts w:hint="eastAsia"/>
        </w:rPr>
        <w:t>格式</w:t>
      </w:r>
      <w:bookmarkEnd w:id="710"/>
    </w:p>
    <w:p w14:paraId="783352EE">
      <w:pPr>
        <w:spacing w:line="400" w:lineRule="exact"/>
        <w:rPr>
          <w:rFonts w:ascii="Times New Roman" w:hAnsi="Times New Roman"/>
        </w:rPr>
      </w:pPr>
    </w:p>
    <w:p w14:paraId="7A28B2AF">
      <w:pPr>
        <w:spacing w:line="400" w:lineRule="exact"/>
        <w:rPr>
          <w:rFonts w:ascii="Times New Roman" w:hAnsi="Times New Roman"/>
        </w:rPr>
      </w:pPr>
      <w:r>
        <w:rPr>
          <w:rFonts w:ascii="Times New Roman" w:hAnsi="Times New Roman"/>
        </w:rPr>
        <w:br w:type="page"/>
      </w:r>
    </w:p>
    <w:p w14:paraId="289D121F">
      <w:pPr>
        <w:spacing w:line="400" w:lineRule="exact"/>
        <w:jc w:val="right"/>
        <w:rPr>
          <w:rFonts w:ascii="Times New Roman" w:hAnsi="Times New Roman"/>
          <w:b/>
          <w:bCs/>
          <w:sz w:val="30"/>
          <w:szCs w:val="30"/>
        </w:rPr>
      </w:pPr>
      <w:r>
        <w:rPr>
          <w:rFonts w:hint="eastAsia" w:ascii="Times New Roman" w:hAnsi="Times New Roman"/>
          <w:b/>
          <w:bCs/>
          <w:sz w:val="30"/>
          <w:szCs w:val="30"/>
        </w:rPr>
        <w:t>正/副本</w:t>
      </w:r>
    </w:p>
    <w:p w14:paraId="6776FE98">
      <w:pPr>
        <w:spacing w:line="400" w:lineRule="exact"/>
        <w:rPr>
          <w:rFonts w:ascii="Times New Roman" w:hAnsi="Times New Roman"/>
        </w:rPr>
      </w:pPr>
    </w:p>
    <w:p w14:paraId="1F4DD181">
      <w:pPr>
        <w:spacing w:line="440" w:lineRule="exact"/>
        <w:rPr>
          <w:rFonts w:ascii="Times New Roman" w:hAnsi="Times New Roman" w:eastAsia="黑体"/>
          <w:sz w:val="20"/>
        </w:rPr>
      </w:pPr>
    </w:p>
    <w:p w14:paraId="665252F6">
      <w:pPr>
        <w:jc w:val="center"/>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rPr>
        <w:t>（项目名称）</w:t>
      </w:r>
    </w:p>
    <w:p w14:paraId="017D4677">
      <w:pPr>
        <w:rPr>
          <w:rFonts w:ascii="宋体" w:hAnsi="宋体" w:eastAsia="宋体" w:cs="宋体"/>
          <w:sz w:val="20"/>
        </w:rPr>
      </w:pPr>
    </w:p>
    <w:p w14:paraId="0B3BCF91">
      <w:pPr>
        <w:jc w:val="center"/>
        <w:rPr>
          <w:rFonts w:ascii="宋体" w:hAnsi="宋体" w:eastAsia="宋体" w:cs="宋体"/>
          <w:sz w:val="44"/>
        </w:rPr>
      </w:pPr>
    </w:p>
    <w:p w14:paraId="33BA73BC">
      <w:pPr>
        <w:jc w:val="center"/>
        <w:rPr>
          <w:rFonts w:ascii="宋体" w:hAnsi="宋体" w:eastAsia="宋体" w:cs="宋体"/>
          <w:sz w:val="44"/>
        </w:rPr>
      </w:pPr>
    </w:p>
    <w:p w14:paraId="13C32527">
      <w:pPr>
        <w:jc w:val="center"/>
        <w:rPr>
          <w:rFonts w:ascii="宋体" w:hAnsi="宋体" w:eastAsia="宋体" w:cs="宋体"/>
          <w:sz w:val="44"/>
        </w:rPr>
      </w:pPr>
    </w:p>
    <w:p w14:paraId="73F9653A">
      <w:pPr>
        <w:jc w:val="center"/>
        <w:rPr>
          <w:rFonts w:ascii="宋体" w:hAnsi="宋体" w:eastAsia="宋体" w:cs="宋体"/>
          <w:sz w:val="44"/>
        </w:rPr>
      </w:pPr>
    </w:p>
    <w:p w14:paraId="69238B33">
      <w:pPr>
        <w:jc w:val="center"/>
        <w:rPr>
          <w:rFonts w:ascii="宋体" w:hAnsi="宋体" w:eastAsia="宋体" w:cs="宋体"/>
          <w:sz w:val="44"/>
        </w:rPr>
      </w:pPr>
      <w:r>
        <w:rPr>
          <w:rFonts w:hint="eastAsia" w:ascii="宋体" w:hAnsi="宋体" w:eastAsia="宋体" w:cs="宋体"/>
          <w:sz w:val="44"/>
        </w:rPr>
        <w:t>应 答 文 件</w:t>
      </w:r>
    </w:p>
    <w:p w14:paraId="7E7873B9">
      <w:pPr>
        <w:jc w:val="center"/>
        <w:rPr>
          <w:rFonts w:ascii="宋体" w:hAnsi="宋体" w:eastAsia="宋体" w:cs="宋体"/>
          <w:sz w:val="44"/>
        </w:rPr>
      </w:pPr>
    </w:p>
    <w:p w14:paraId="32025191">
      <w:pPr>
        <w:rPr>
          <w:rFonts w:ascii="宋体" w:hAnsi="宋体" w:eastAsia="宋体" w:cs="宋体"/>
          <w:sz w:val="28"/>
        </w:rPr>
      </w:pPr>
    </w:p>
    <w:p w14:paraId="65871460">
      <w:pPr>
        <w:rPr>
          <w:rFonts w:ascii="宋体" w:hAnsi="宋体" w:eastAsia="宋体" w:cs="宋体"/>
          <w:sz w:val="28"/>
        </w:rPr>
      </w:pPr>
    </w:p>
    <w:p w14:paraId="0BBCC932">
      <w:pPr>
        <w:rPr>
          <w:rFonts w:ascii="宋体" w:hAnsi="宋体" w:eastAsia="宋体" w:cs="宋体"/>
          <w:sz w:val="28"/>
        </w:rPr>
      </w:pPr>
    </w:p>
    <w:p w14:paraId="0F0CD01D">
      <w:pPr>
        <w:rPr>
          <w:rFonts w:ascii="宋体" w:hAnsi="宋体" w:eastAsia="宋体" w:cs="宋体"/>
          <w:sz w:val="28"/>
        </w:rPr>
      </w:pPr>
    </w:p>
    <w:p w14:paraId="6A8C27CD">
      <w:pPr>
        <w:rPr>
          <w:rFonts w:ascii="宋体" w:hAnsi="宋体" w:eastAsia="宋体" w:cs="宋体"/>
          <w:sz w:val="28"/>
        </w:rPr>
      </w:pPr>
    </w:p>
    <w:p w14:paraId="33F1B68D">
      <w:pPr>
        <w:rPr>
          <w:rFonts w:ascii="宋体" w:hAnsi="宋体" w:eastAsia="宋体" w:cs="宋体"/>
          <w:sz w:val="28"/>
        </w:rPr>
      </w:pPr>
    </w:p>
    <w:p w14:paraId="2F98D270">
      <w:pPr>
        <w:rPr>
          <w:rFonts w:ascii="宋体" w:hAnsi="宋体" w:eastAsia="宋体" w:cs="宋体"/>
          <w:sz w:val="28"/>
        </w:rPr>
      </w:pPr>
    </w:p>
    <w:p w14:paraId="5EA28B5B">
      <w:pPr>
        <w:rPr>
          <w:rFonts w:ascii="宋体" w:hAnsi="宋体" w:eastAsia="宋体" w:cs="宋体"/>
          <w:sz w:val="28"/>
        </w:rPr>
      </w:pPr>
    </w:p>
    <w:p w14:paraId="0DB8BF4F">
      <w:pPr>
        <w:rPr>
          <w:rFonts w:ascii="宋体" w:hAnsi="宋体" w:eastAsia="宋体" w:cs="宋体"/>
          <w:sz w:val="28"/>
        </w:rPr>
      </w:pPr>
    </w:p>
    <w:p w14:paraId="46BAE8DC">
      <w:pPr>
        <w:rPr>
          <w:rFonts w:ascii="宋体" w:hAnsi="宋体" w:eastAsia="宋体" w:cs="宋体"/>
          <w:sz w:val="28"/>
        </w:rPr>
      </w:pPr>
    </w:p>
    <w:p w14:paraId="0B668393">
      <w:pPr>
        <w:rPr>
          <w:rFonts w:ascii="宋体" w:hAnsi="宋体" w:eastAsia="宋体" w:cs="宋体"/>
          <w:sz w:val="28"/>
        </w:rPr>
      </w:pPr>
    </w:p>
    <w:p w14:paraId="7BFDD3CF">
      <w:pPr>
        <w:rPr>
          <w:rFonts w:ascii="宋体" w:hAnsi="宋体" w:eastAsia="宋体" w:cs="宋体"/>
          <w:sz w:val="28"/>
        </w:rPr>
      </w:pPr>
    </w:p>
    <w:p w14:paraId="58327AA7">
      <w:pPr>
        <w:spacing w:line="360" w:lineRule="auto"/>
        <w:ind w:firstLine="1120" w:firstLineChars="400"/>
        <w:rPr>
          <w:rFonts w:ascii="宋体" w:hAnsi="宋体" w:eastAsia="宋体" w:cs="宋体"/>
          <w:sz w:val="28"/>
          <w:u w:val="single"/>
        </w:rPr>
      </w:pPr>
      <w:r>
        <w:rPr>
          <w:rFonts w:hint="eastAsia" w:ascii="宋体" w:hAnsi="宋体" w:eastAsia="宋体" w:cs="宋体"/>
          <w:sz w:val="28"/>
        </w:rPr>
        <w:t>供应商：</w:t>
      </w:r>
      <w:r>
        <w:rPr>
          <w:rFonts w:hint="eastAsia" w:ascii="宋体" w:hAnsi="宋体" w:eastAsia="宋体" w:cs="宋体"/>
          <w:u w:val="single"/>
        </w:rPr>
        <w:t xml:space="preserve">                                            </w:t>
      </w:r>
      <w:r>
        <w:rPr>
          <w:rFonts w:hint="eastAsia" w:ascii="宋体" w:hAnsi="宋体" w:eastAsia="宋体" w:cs="宋体"/>
          <w:sz w:val="28"/>
        </w:rPr>
        <w:t>（盖单位章）</w:t>
      </w:r>
    </w:p>
    <w:p w14:paraId="7A263A72">
      <w:pPr>
        <w:spacing w:line="360" w:lineRule="auto"/>
        <w:ind w:firstLine="1120" w:firstLineChars="400"/>
        <w:jc w:val="left"/>
        <w:rPr>
          <w:rFonts w:ascii="宋体" w:hAnsi="宋体" w:eastAsia="宋体" w:cs="宋体"/>
          <w:sz w:val="28"/>
        </w:rPr>
      </w:pPr>
      <w:r>
        <w:rPr>
          <w:rFonts w:hint="eastAsia" w:ascii="宋体" w:hAnsi="宋体" w:eastAsia="宋体" w:cs="宋体"/>
          <w:sz w:val="28"/>
        </w:rPr>
        <w:t>法定代表人或其委托代理人：</w:t>
      </w:r>
      <w:r>
        <w:rPr>
          <w:rFonts w:hint="eastAsia" w:ascii="宋体" w:hAnsi="宋体" w:eastAsia="宋体" w:cs="宋体"/>
          <w:u w:val="single"/>
        </w:rPr>
        <w:t xml:space="preserve">       </w:t>
      </w:r>
      <w:r>
        <w:rPr>
          <w:rFonts w:hint="eastAsia" w:ascii="宋体" w:hAnsi="宋体" w:eastAsia="宋体" w:cs="宋体"/>
          <w:sz w:val="28"/>
        </w:rPr>
        <w:t>（签字）</w:t>
      </w:r>
    </w:p>
    <w:p w14:paraId="28B55E47">
      <w:pPr>
        <w:jc w:val="center"/>
        <w:rPr>
          <w:rFonts w:ascii="宋体" w:hAnsi="宋体" w:eastAsia="宋体" w:cs="宋体"/>
          <w:sz w:val="28"/>
        </w:rPr>
      </w:pPr>
    </w:p>
    <w:p w14:paraId="3354FFA0">
      <w:pPr>
        <w:spacing w:line="400" w:lineRule="exact"/>
        <w:jc w:val="center"/>
        <w:rPr>
          <w:rFonts w:ascii="Times New Roman" w:hAnsi="Times New Roman"/>
        </w:rPr>
      </w:pPr>
      <w:r>
        <w:rPr>
          <w:rFonts w:hint="eastAsia" w:ascii="宋体" w:hAnsi="宋体" w:eastAsia="宋体" w:cs="宋体"/>
          <w:u w:val="single"/>
        </w:rPr>
        <w:t xml:space="preserve">       </w:t>
      </w:r>
      <w:r>
        <w:rPr>
          <w:rFonts w:hint="eastAsia" w:ascii="宋体" w:hAnsi="宋体" w:eastAsia="宋体" w:cs="宋体"/>
          <w:sz w:val="28"/>
        </w:rPr>
        <w:t>年</w:t>
      </w:r>
      <w:r>
        <w:rPr>
          <w:rFonts w:hint="eastAsia" w:ascii="宋体" w:hAnsi="宋体" w:eastAsia="宋体" w:cs="宋体"/>
          <w:u w:val="single"/>
        </w:rPr>
        <w:t xml:space="preserve">       </w:t>
      </w:r>
      <w:r>
        <w:rPr>
          <w:rFonts w:hint="eastAsia" w:ascii="宋体" w:hAnsi="宋体" w:eastAsia="宋体" w:cs="宋体"/>
          <w:sz w:val="28"/>
        </w:rPr>
        <w:t>月</w:t>
      </w:r>
      <w:r>
        <w:rPr>
          <w:rFonts w:hint="eastAsia" w:ascii="宋体" w:hAnsi="宋体" w:eastAsia="宋体" w:cs="宋体"/>
          <w:u w:val="single"/>
        </w:rPr>
        <w:t xml:space="preserve">       </w:t>
      </w:r>
      <w:r>
        <w:rPr>
          <w:rFonts w:hint="eastAsia" w:ascii="宋体" w:hAnsi="宋体" w:eastAsia="宋体" w:cs="宋体"/>
          <w:sz w:val="28"/>
        </w:rPr>
        <w:t>日</w:t>
      </w:r>
      <w:r>
        <w:rPr>
          <w:rFonts w:hint="eastAsia" w:ascii="宋体" w:hAnsi="宋体" w:eastAsia="宋体" w:cs="宋体"/>
        </w:rPr>
        <w:br w:type="page"/>
      </w:r>
    </w:p>
    <w:p w14:paraId="08734969">
      <w:pPr>
        <w:pStyle w:val="4"/>
        <w:jc w:val="center"/>
        <w:rPr>
          <w:rFonts w:ascii="宋体" w:hAnsi="宋体" w:eastAsia="宋体" w:cs="宋体"/>
        </w:rPr>
      </w:pPr>
      <w:bookmarkStart w:id="711" w:name="_Toc32753"/>
      <w:bookmarkStart w:id="712" w:name="_Toc14767"/>
      <w:bookmarkStart w:id="713" w:name="_Toc74125962"/>
      <w:bookmarkStart w:id="714" w:name="_Toc80884534"/>
      <w:bookmarkStart w:id="715" w:name="_Toc10871"/>
      <w:bookmarkStart w:id="716" w:name="_Toc69937237"/>
      <w:r>
        <w:rPr>
          <w:rFonts w:hint="eastAsia" w:ascii="宋体" w:hAnsi="宋体" w:eastAsia="宋体" w:cs="宋体"/>
        </w:rPr>
        <w:t>目录</w:t>
      </w:r>
      <w:bookmarkEnd w:id="711"/>
      <w:bookmarkEnd w:id="712"/>
      <w:bookmarkEnd w:id="713"/>
      <w:bookmarkEnd w:id="714"/>
      <w:bookmarkEnd w:id="715"/>
      <w:bookmarkEnd w:id="716"/>
    </w:p>
    <w:p w14:paraId="6F8CCBAF">
      <w:pPr>
        <w:spacing w:line="540" w:lineRule="exact"/>
        <w:rPr>
          <w:rFonts w:ascii="Times New Roman" w:hAnsi="Times New Roman"/>
        </w:rPr>
      </w:pPr>
    </w:p>
    <w:p w14:paraId="75EDE1D4">
      <w:pPr>
        <w:spacing w:line="540" w:lineRule="exact"/>
        <w:rPr>
          <w:rFonts w:ascii="Times New Roman" w:hAnsi="Times New Roman"/>
        </w:rPr>
      </w:pPr>
      <w:r>
        <w:rPr>
          <w:rFonts w:ascii="Times New Roman" w:hAnsi="Times New Roman"/>
        </w:rPr>
        <w:t>一、</w:t>
      </w:r>
      <w:r>
        <w:rPr>
          <w:rFonts w:hint="eastAsia" w:ascii="Times New Roman" w:hAnsi="Times New Roman"/>
          <w:lang w:eastAsia="zh-CN"/>
        </w:rPr>
        <w:t>谈判</w:t>
      </w:r>
      <w:r>
        <w:rPr>
          <w:rFonts w:hint="eastAsia" w:ascii="Times New Roman" w:hAnsi="Times New Roman"/>
        </w:rPr>
        <w:t>函</w:t>
      </w:r>
      <w:r>
        <w:rPr>
          <w:rFonts w:ascii="Times New Roman" w:hAnsi="Times New Roman"/>
        </w:rPr>
        <w:t>及</w:t>
      </w:r>
      <w:r>
        <w:rPr>
          <w:rFonts w:hint="eastAsia" w:ascii="Times New Roman" w:hAnsi="Times New Roman"/>
          <w:lang w:eastAsia="zh-CN"/>
        </w:rPr>
        <w:t>谈判</w:t>
      </w:r>
      <w:r>
        <w:rPr>
          <w:rFonts w:hint="eastAsia" w:ascii="Times New Roman" w:hAnsi="Times New Roman"/>
        </w:rPr>
        <w:t>函</w:t>
      </w:r>
      <w:r>
        <w:rPr>
          <w:rFonts w:ascii="Times New Roman" w:hAnsi="Times New Roman"/>
        </w:rPr>
        <w:t>附录</w:t>
      </w:r>
    </w:p>
    <w:p w14:paraId="640E3E11">
      <w:pPr>
        <w:spacing w:line="540" w:lineRule="exact"/>
        <w:rPr>
          <w:rFonts w:ascii="Times New Roman" w:hAnsi="Times New Roman"/>
        </w:rPr>
      </w:pPr>
      <w:r>
        <w:rPr>
          <w:rFonts w:ascii="Times New Roman" w:hAnsi="Times New Roman"/>
        </w:rPr>
        <w:t>二、法定代表人身份证明</w:t>
      </w:r>
    </w:p>
    <w:p w14:paraId="54BE644E">
      <w:pPr>
        <w:spacing w:line="540" w:lineRule="exact"/>
        <w:rPr>
          <w:rFonts w:ascii="Times New Roman" w:hAnsi="Times New Roman"/>
        </w:rPr>
      </w:pPr>
      <w:r>
        <w:rPr>
          <w:rFonts w:hint="eastAsia" w:ascii="Times New Roman" w:hAnsi="Times New Roman"/>
        </w:rPr>
        <w:t>三</w:t>
      </w:r>
      <w:r>
        <w:rPr>
          <w:rFonts w:ascii="Times New Roman" w:hAnsi="Times New Roman"/>
        </w:rPr>
        <w:t>、授权委托书</w:t>
      </w:r>
    </w:p>
    <w:p w14:paraId="3202B54D">
      <w:pPr>
        <w:spacing w:line="540" w:lineRule="exact"/>
        <w:rPr>
          <w:rFonts w:ascii="Times New Roman" w:hAnsi="Times New Roman"/>
        </w:rPr>
      </w:pPr>
      <w:r>
        <w:rPr>
          <w:rFonts w:hint="eastAsia" w:ascii="Times New Roman" w:hAnsi="Times New Roman"/>
          <w:lang w:val="en-US" w:eastAsia="zh-CN"/>
        </w:rPr>
        <w:t>四</w:t>
      </w:r>
      <w:r>
        <w:rPr>
          <w:rFonts w:ascii="Times New Roman" w:hAnsi="Times New Roman"/>
        </w:rPr>
        <w:t>、资格审查资料</w:t>
      </w:r>
    </w:p>
    <w:p w14:paraId="384DCD98">
      <w:pPr>
        <w:spacing w:line="540" w:lineRule="exact"/>
        <w:rPr>
          <w:rFonts w:hint="default" w:ascii="Times New Roman" w:hAnsi="Times New Roman"/>
          <w:lang w:val="en-US"/>
        </w:rPr>
      </w:pPr>
      <w:r>
        <w:rPr>
          <w:rFonts w:hint="eastAsia" w:ascii="Times New Roman" w:hAnsi="Times New Roman"/>
          <w:lang w:val="en-US" w:eastAsia="zh-CN"/>
        </w:rPr>
        <w:t>五</w:t>
      </w:r>
      <w:r>
        <w:rPr>
          <w:rFonts w:ascii="Times New Roman" w:hAnsi="Times New Roman"/>
        </w:rPr>
        <w:t>、</w:t>
      </w:r>
      <w:r>
        <w:rPr>
          <w:rFonts w:hint="eastAsia" w:ascii="Times New Roman" w:hAnsi="Times New Roman"/>
          <w:lang w:val="en-US" w:eastAsia="zh-CN"/>
        </w:rPr>
        <w:t>技术参数响应</w:t>
      </w:r>
    </w:p>
    <w:p w14:paraId="713DFD9F">
      <w:pPr>
        <w:spacing w:line="540" w:lineRule="exact"/>
        <w:rPr>
          <w:rFonts w:ascii="Times New Roman" w:hAnsi="Times New Roman"/>
        </w:rPr>
      </w:pPr>
      <w:r>
        <w:rPr>
          <w:rFonts w:hint="eastAsia" w:ascii="Times New Roman" w:hAnsi="Times New Roman"/>
          <w:lang w:val="en-US" w:eastAsia="zh-CN"/>
        </w:rPr>
        <w:t>六</w:t>
      </w:r>
      <w:r>
        <w:rPr>
          <w:rFonts w:hint="eastAsia" w:ascii="Times New Roman" w:hAnsi="Times New Roman"/>
        </w:rPr>
        <w:t>、</w:t>
      </w:r>
      <w:r>
        <w:rPr>
          <w:rFonts w:ascii="Times New Roman" w:hAnsi="Times New Roman"/>
        </w:rPr>
        <w:t>其他资料</w:t>
      </w:r>
    </w:p>
    <w:p w14:paraId="311C7971">
      <w:pPr>
        <w:spacing w:line="540" w:lineRule="exact"/>
        <w:rPr>
          <w:rFonts w:ascii="Times New Roman" w:hAnsi="Times New Roman" w:eastAsia="黑体"/>
          <w:sz w:val="20"/>
        </w:rPr>
      </w:pPr>
      <w:bookmarkStart w:id="717" w:name="_Toc352691655"/>
      <w:bookmarkStart w:id="718" w:name="_Toc7039"/>
      <w:bookmarkStart w:id="719" w:name="_Toc369531691"/>
      <w:r>
        <w:rPr>
          <w:rFonts w:ascii="Times New Roman" w:hAnsi="Times New Roman"/>
        </w:rPr>
        <w:br w:type="page"/>
      </w:r>
    </w:p>
    <w:bookmarkEnd w:id="717"/>
    <w:bookmarkEnd w:id="718"/>
    <w:bookmarkEnd w:id="719"/>
    <w:p w14:paraId="55712099">
      <w:pPr>
        <w:pStyle w:val="4"/>
        <w:jc w:val="center"/>
        <w:rPr>
          <w:rFonts w:hint="default" w:ascii="宋体" w:hAnsi="宋体" w:eastAsia="宋体" w:cs="宋体"/>
          <w:lang w:val="en-US" w:eastAsia="zh-CN"/>
        </w:rPr>
      </w:pPr>
      <w:bookmarkStart w:id="720" w:name="_Toc14086"/>
      <w:bookmarkStart w:id="721" w:name="_Toc74125963"/>
      <w:bookmarkStart w:id="722" w:name="_Toc80884535"/>
      <w:bookmarkStart w:id="723" w:name="_Toc22779"/>
      <w:bookmarkStart w:id="724" w:name="_Toc69937238"/>
      <w:bookmarkStart w:id="725" w:name="_Toc23507"/>
      <w:r>
        <w:rPr>
          <w:rFonts w:hint="eastAsia" w:ascii="宋体" w:hAnsi="宋体" w:eastAsia="宋体" w:cs="宋体"/>
        </w:rPr>
        <w:t>一、</w:t>
      </w:r>
      <w:bookmarkStart w:id="726" w:name="_Toc6931"/>
      <w:bookmarkStart w:id="727" w:name="_Toc352691656"/>
      <w:bookmarkStart w:id="728" w:name="_Toc369531692"/>
      <w:r>
        <w:rPr>
          <w:rFonts w:hint="eastAsia" w:ascii="宋体" w:hAnsi="宋体" w:eastAsia="宋体" w:cs="宋体"/>
          <w:lang w:eastAsia="zh-CN"/>
        </w:rPr>
        <w:t>谈判</w:t>
      </w:r>
      <w:r>
        <w:rPr>
          <w:rFonts w:hint="eastAsia" w:ascii="宋体" w:hAnsi="宋体" w:eastAsia="宋体" w:cs="宋体"/>
        </w:rPr>
        <w:t>函及</w:t>
      </w:r>
      <w:bookmarkEnd w:id="720"/>
      <w:bookmarkEnd w:id="721"/>
      <w:bookmarkEnd w:id="722"/>
      <w:bookmarkEnd w:id="723"/>
      <w:bookmarkEnd w:id="724"/>
      <w:bookmarkEnd w:id="725"/>
      <w:r>
        <w:rPr>
          <w:rFonts w:hint="eastAsia" w:ascii="宋体" w:hAnsi="宋体" w:eastAsia="宋体" w:cs="宋体"/>
          <w:lang w:val="en-US" w:eastAsia="zh-CN"/>
        </w:rPr>
        <w:t>分项报价表</w:t>
      </w:r>
    </w:p>
    <w:bookmarkEnd w:id="726"/>
    <w:bookmarkEnd w:id="727"/>
    <w:bookmarkEnd w:id="728"/>
    <w:p w14:paraId="4BCC2A82">
      <w:pPr>
        <w:pStyle w:val="5"/>
        <w:ind w:firstLine="137"/>
        <w:jc w:val="center"/>
        <w:rPr>
          <w:rFonts w:ascii="宋体" w:hAnsi="宋体" w:eastAsia="宋体" w:cs="宋体"/>
        </w:rPr>
      </w:pPr>
      <w:bookmarkStart w:id="729" w:name="_Toc359594235"/>
      <w:bookmarkStart w:id="730" w:name="_Toc370676426"/>
      <w:bookmarkStart w:id="731" w:name="_Toc166"/>
      <w:bookmarkStart w:id="732" w:name="_Toc391394111"/>
      <w:bookmarkStart w:id="733" w:name="_Toc482188651"/>
      <w:bookmarkStart w:id="734" w:name="_Toc385943065"/>
      <w:bookmarkStart w:id="735" w:name="_Toc74125964"/>
      <w:bookmarkStart w:id="736" w:name="_Toc26277"/>
      <w:bookmarkStart w:id="737" w:name="_Toc80884536"/>
      <w:bookmarkStart w:id="738" w:name="_Toc69937239"/>
      <w:bookmarkStart w:id="739" w:name="_Toc20744"/>
      <w:r>
        <w:rPr>
          <w:rFonts w:hint="eastAsia" w:ascii="宋体" w:hAnsi="宋体" w:eastAsia="宋体" w:cs="宋体"/>
        </w:rPr>
        <w:t>（一）</w:t>
      </w:r>
      <w:bookmarkEnd w:id="729"/>
      <w:bookmarkEnd w:id="730"/>
      <w:bookmarkEnd w:id="731"/>
      <w:bookmarkEnd w:id="732"/>
      <w:bookmarkEnd w:id="733"/>
      <w:bookmarkEnd w:id="734"/>
      <w:r>
        <w:rPr>
          <w:rFonts w:hint="eastAsia" w:ascii="宋体" w:hAnsi="宋体" w:eastAsia="宋体" w:cs="宋体"/>
          <w:lang w:eastAsia="zh-CN"/>
        </w:rPr>
        <w:t>谈判</w:t>
      </w:r>
      <w:r>
        <w:rPr>
          <w:rFonts w:hint="eastAsia" w:ascii="宋体" w:hAnsi="宋体" w:eastAsia="宋体" w:cs="宋体"/>
        </w:rPr>
        <w:t>函</w:t>
      </w:r>
      <w:bookmarkEnd w:id="735"/>
      <w:bookmarkEnd w:id="736"/>
      <w:bookmarkEnd w:id="737"/>
      <w:bookmarkEnd w:id="738"/>
      <w:bookmarkEnd w:id="739"/>
    </w:p>
    <w:p w14:paraId="34AD5CC1">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szCs w:val="21"/>
        </w:rPr>
      </w:pP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rPr>
        <w:t>采购人</w:t>
      </w:r>
      <w:r>
        <w:rPr>
          <w:rFonts w:ascii="Times New Roman" w:hAnsi="Times New Roman"/>
          <w:szCs w:val="21"/>
        </w:rPr>
        <w:t>名称）：</w:t>
      </w:r>
    </w:p>
    <w:p w14:paraId="3CF0884D">
      <w:pPr>
        <w:keepNext w:val="0"/>
        <w:keepLines w:val="0"/>
        <w:pageBreakBefore w:val="0"/>
        <w:widowControl w:val="0"/>
        <w:kinsoku/>
        <w:wordWrap/>
        <w:overflowPunct/>
        <w:topLinePunct w:val="0"/>
        <w:autoSpaceDE/>
        <w:autoSpaceDN/>
        <w:bidi w:val="0"/>
        <w:adjustRightInd/>
        <w:snapToGrid/>
        <w:spacing w:line="400" w:lineRule="exact"/>
        <w:ind w:firstLine="405"/>
        <w:textAlignment w:val="auto"/>
        <w:rPr>
          <w:rFonts w:ascii="宋体" w:hAnsi="宋体" w:eastAsia="宋体"/>
          <w:szCs w:val="21"/>
        </w:rPr>
      </w:pPr>
      <w:r>
        <w:rPr>
          <w:rFonts w:ascii="宋体" w:hAnsi="宋体" w:eastAsia="宋体"/>
          <w:szCs w:val="21"/>
        </w:rPr>
        <w:t>1．我方已仔细研究了</w:t>
      </w:r>
      <w:r>
        <w:rPr>
          <w:rFonts w:ascii="宋体" w:hAnsi="宋体" w:eastAsia="宋体"/>
          <w:szCs w:val="21"/>
          <w:u w:val="single"/>
        </w:rPr>
        <w:t xml:space="preserve">                  </w:t>
      </w:r>
      <w:r>
        <w:rPr>
          <w:rFonts w:ascii="宋体" w:hAnsi="宋体" w:eastAsia="宋体"/>
          <w:szCs w:val="21"/>
        </w:rPr>
        <w:t>（项目名称）</w:t>
      </w:r>
      <w:r>
        <w:rPr>
          <w:rFonts w:hint="eastAsia" w:ascii="宋体" w:hAnsi="宋体"/>
          <w:szCs w:val="21"/>
          <w:lang w:eastAsia="zh-CN"/>
        </w:rPr>
        <w:t>竞争谈判</w:t>
      </w:r>
      <w:r>
        <w:rPr>
          <w:rFonts w:hint="eastAsia" w:ascii="宋体" w:hAnsi="宋体" w:eastAsia="宋体"/>
          <w:szCs w:val="21"/>
          <w:lang w:eastAsia="zh-CN"/>
        </w:rPr>
        <w:t>文件</w:t>
      </w:r>
      <w:r>
        <w:rPr>
          <w:rFonts w:ascii="宋体" w:hAnsi="宋体" w:eastAsia="宋体"/>
          <w:szCs w:val="21"/>
        </w:rPr>
        <w:t>的全部内容，愿意以人民币（大写）</w:t>
      </w:r>
      <w:r>
        <w:rPr>
          <w:rFonts w:hint="eastAsia" w:ascii="宋体" w:hAnsi="宋体" w:eastAsia="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szCs w:val="21"/>
          <w:u w:val="single"/>
        </w:rPr>
        <w:t xml:space="preserve">     </w:t>
      </w:r>
      <w:r>
        <w:rPr>
          <w:rFonts w:ascii="宋体" w:hAnsi="宋体" w:eastAsia="宋体"/>
          <w:szCs w:val="21"/>
        </w:rPr>
        <w:t>）的</w:t>
      </w:r>
      <w:r>
        <w:rPr>
          <w:rFonts w:hint="eastAsia" w:ascii="宋体" w:hAnsi="宋体" w:eastAsia="宋体"/>
          <w:szCs w:val="21"/>
        </w:rPr>
        <w:t>不含税</w:t>
      </w:r>
      <w:r>
        <w:rPr>
          <w:rFonts w:hint="eastAsia" w:ascii="宋体" w:hAnsi="宋体" w:eastAsia="宋体"/>
          <w:szCs w:val="21"/>
          <w:lang w:eastAsia="zh-CN"/>
        </w:rPr>
        <w:t>谈判</w:t>
      </w:r>
      <w:r>
        <w:rPr>
          <w:rFonts w:ascii="宋体" w:hAnsi="宋体" w:eastAsia="宋体"/>
          <w:szCs w:val="21"/>
        </w:rPr>
        <w:t>总报价</w:t>
      </w:r>
      <w:r>
        <w:rPr>
          <w:rFonts w:hint="eastAsia" w:ascii="宋体" w:hAnsi="宋体"/>
          <w:szCs w:val="21"/>
          <w:lang w:val="en-US" w:eastAsia="zh-CN"/>
        </w:rPr>
        <w:t>承接本项目。</w:t>
      </w:r>
    </w:p>
    <w:p w14:paraId="6225B75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Cs w:val="21"/>
        </w:rPr>
      </w:pPr>
      <w:r>
        <w:rPr>
          <w:rFonts w:ascii="宋体" w:hAnsi="宋体" w:eastAsia="宋体"/>
          <w:szCs w:val="21"/>
        </w:rPr>
        <w:t>2. 我方的</w:t>
      </w:r>
      <w:r>
        <w:rPr>
          <w:rFonts w:hint="eastAsia" w:ascii="宋体" w:hAnsi="宋体" w:eastAsia="宋体"/>
          <w:szCs w:val="21"/>
          <w:lang w:eastAsia="zh-CN"/>
        </w:rPr>
        <w:t>响应文件</w:t>
      </w:r>
      <w:r>
        <w:rPr>
          <w:rFonts w:ascii="宋体" w:hAnsi="宋体" w:eastAsia="宋体"/>
          <w:szCs w:val="21"/>
        </w:rPr>
        <w:t>包括下列内容：</w:t>
      </w:r>
    </w:p>
    <w:p w14:paraId="6DD0F1E7">
      <w:pPr>
        <w:keepNext w:val="0"/>
        <w:keepLines w:val="0"/>
        <w:pageBreakBefore w:val="0"/>
        <w:widowControl w:val="0"/>
        <w:kinsoku/>
        <w:wordWrap/>
        <w:overflowPunct/>
        <w:topLinePunct w:val="0"/>
        <w:autoSpaceDE/>
        <w:autoSpaceDN/>
        <w:bidi w:val="0"/>
        <w:adjustRightInd/>
        <w:snapToGrid/>
        <w:spacing w:line="400" w:lineRule="exact"/>
        <w:ind w:firstLine="405"/>
        <w:textAlignment w:val="auto"/>
        <w:rPr>
          <w:rFonts w:ascii="宋体" w:hAnsi="宋体" w:eastAsia="宋体"/>
          <w:szCs w:val="21"/>
        </w:rPr>
      </w:pPr>
      <w:r>
        <w:rPr>
          <w:rFonts w:ascii="宋体" w:hAnsi="宋体" w:eastAsia="宋体"/>
          <w:szCs w:val="21"/>
        </w:rPr>
        <w:t>（1）</w:t>
      </w:r>
      <w:r>
        <w:rPr>
          <w:rFonts w:hint="eastAsia" w:ascii="宋体" w:hAnsi="宋体" w:eastAsia="宋体"/>
          <w:szCs w:val="21"/>
          <w:lang w:eastAsia="zh-CN"/>
        </w:rPr>
        <w:t>谈判</w:t>
      </w:r>
      <w:r>
        <w:rPr>
          <w:rFonts w:hint="eastAsia" w:ascii="宋体" w:hAnsi="宋体" w:eastAsia="宋体"/>
          <w:szCs w:val="21"/>
        </w:rPr>
        <w:t>函</w:t>
      </w:r>
      <w:r>
        <w:rPr>
          <w:rFonts w:ascii="宋体" w:hAnsi="宋体" w:eastAsia="宋体"/>
        </w:rPr>
        <w:t>及</w:t>
      </w:r>
      <w:r>
        <w:rPr>
          <w:rFonts w:hint="eastAsia" w:ascii="宋体" w:hAnsi="宋体"/>
          <w:lang w:val="en-US" w:eastAsia="zh-CN"/>
        </w:rPr>
        <w:t>分项报价表</w:t>
      </w:r>
      <w:r>
        <w:rPr>
          <w:rFonts w:ascii="宋体" w:hAnsi="宋体" w:eastAsia="宋体"/>
          <w:szCs w:val="21"/>
        </w:rPr>
        <w:t>；</w:t>
      </w:r>
    </w:p>
    <w:p w14:paraId="1D21A2E5">
      <w:pPr>
        <w:keepNext w:val="0"/>
        <w:keepLines w:val="0"/>
        <w:pageBreakBefore w:val="0"/>
        <w:widowControl w:val="0"/>
        <w:kinsoku/>
        <w:wordWrap/>
        <w:overflowPunct/>
        <w:topLinePunct w:val="0"/>
        <w:autoSpaceDE/>
        <w:autoSpaceDN/>
        <w:bidi w:val="0"/>
        <w:adjustRightInd/>
        <w:snapToGrid/>
        <w:spacing w:line="400" w:lineRule="exact"/>
        <w:ind w:firstLine="405"/>
        <w:textAlignment w:val="auto"/>
        <w:rPr>
          <w:rFonts w:ascii="宋体" w:hAnsi="宋体" w:eastAsia="宋体"/>
          <w:szCs w:val="21"/>
        </w:rPr>
      </w:pPr>
      <w:r>
        <w:rPr>
          <w:rFonts w:ascii="宋体" w:hAnsi="宋体" w:eastAsia="宋体"/>
          <w:szCs w:val="21"/>
        </w:rPr>
        <w:t>（2）法定代表人身份证明或授权委托书；</w:t>
      </w:r>
    </w:p>
    <w:p w14:paraId="3A19B805">
      <w:pPr>
        <w:keepNext w:val="0"/>
        <w:keepLines w:val="0"/>
        <w:pageBreakBefore w:val="0"/>
        <w:widowControl w:val="0"/>
        <w:kinsoku/>
        <w:wordWrap/>
        <w:overflowPunct/>
        <w:topLinePunct w:val="0"/>
        <w:autoSpaceDE/>
        <w:autoSpaceDN/>
        <w:bidi w:val="0"/>
        <w:adjustRightInd/>
        <w:snapToGrid/>
        <w:spacing w:line="400" w:lineRule="exact"/>
        <w:ind w:firstLine="405"/>
        <w:textAlignment w:val="auto"/>
        <w:rPr>
          <w:rFonts w:ascii="宋体" w:hAnsi="宋体" w:eastAsia="宋体"/>
          <w:szCs w:val="21"/>
        </w:rPr>
      </w:pPr>
      <w:r>
        <w:rPr>
          <w:rFonts w:ascii="宋体" w:hAnsi="宋体" w:eastAsia="宋体"/>
          <w:szCs w:val="21"/>
        </w:rPr>
        <w:t>（</w:t>
      </w:r>
      <w:r>
        <w:rPr>
          <w:rFonts w:hint="eastAsia" w:ascii="宋体" w:hAnsi="宋体" w:eastAsia="宋体"/>
          <w:szCs w:val="21"/>
          <w:lang w:val="en-US" w:eastAsia="zh-CN"/>
        </w:rPr>
        <w:t>3</w:t>
      </w:r>
      <w:r>
        <w:rPr>
          <w:rFonts w:ascii="宋体" w:hAnsi="宋体" w:eastAsia="宋体"/>
          <w:szCs w:val="21"/>
        </w:rPr>
        <w:t>）资格审查资料；</w:t>
      </w:r>
    </w:p>
    <w:p w14:paraId="4962445F">
      <w:pPr>
        <w:keepNext w:val="0"/>
        <w:keepLines w:val="0"/>
        <w:pageBreakBefore w:val="0"/>
        <w:widowControl w:val="0"/>
        <w:kinsoku/>
        <w:wordWrap/>
        <w:overflowPunct/>
        <w:topLinePunct w:val="0"/>
        <w:autoSpaceDE/>
        <w:autoSpaceDN/>
        <w:bidi w:val="0"/>
        <w:adjustRightInd/>
        <w:snapToGrid/>
        <w:spacing w:line="400" w:lineRule="exact"/>
        <w:ind w:firstLine="405"/>
        <w:textAlignment w:val="auto"/>
        <w:rPr>
          <w:rFonts w:ascii="宋体" w:hAnsi="宋体" w:eastAsia="宋体"/>
          <w:szCs w:val="21"/>
        </w:rPr>
      </w:pPr>
      <w:r>
        <w:rPr>
          <w:rFonts w:ascii="宋体" w:hAnsi="宋体" w:eastAsia="宋体"/>
          <w:szCs w:val="21"/>
        </w:rPr>
        <w:t>……</w:t>
      </w:r>
    </w:p>
    <w:p w14:paraId="7E8509C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Cs w:val="21"/>
        </w:rPr>
      </w:pPr>
      <w:r>
        <w:rPr>
          <w:rFonts w:hint="eastAsia" w:ascii="宋体" w:hAnsi="宋体" w:eastAsia="宋体"/>
          <w:szCs w:val="21"/>
          <w:lang w:eastAsia="zh-CN"/>
        </w:rPr>
        <w:t>响应文件</w:t>
      </w:r>
      <w:r>
        <w:rPr>
          <w:rFonts w:ascii="宋体" w:hAnsi="宋体" w:eastAsia="宋体"/>
          <w:szCs w:val="21"/>
        </w:rPr>
        <w:t>的上述组成部分如存在内容不一致的，以</w:t>
      </w:r>
      <w:r>
        <w:rPr>
          <w:rFonts w:hint="eastAsia" w:ascii="宋体" w:hAnsi="宋体" w:eastAsia="宋体"/>
          <w:szCs w:val="21"/>
          <w:lang w:eastAsia="zh-CN"/>
        </w:rPr>
        <w:t>谈判</w:t>
      </w:r>
      <w:r>
        <w:rPr>
          <w:rFonts w:hint="eastAsia" w:ascii="宋体" w:hAnsi="宋体" w:eastAsia="宋体"/>
          <w:szCs w:val="21"/>
        </w:rPr>
        <w:t>函</w:t>
      </w:r>
      <w:r>
        <w:rPr>
          <w:rFonts w:ascii="宋体" w:hAnsi="宋体" w:eastAsia="宋体"/>
          <w:szCs w:val="21"/>
        </w:rPr>
        <w:t>为准。</w:t>
      </w:r>
    </w:p>
    <w:p w14:paraId="009FF9D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Cs w:val="21"/>
        </w:rPr>
      </w:pPr>
      <w:r>
        <w:rPr>
          <w:rFonts w:ascii="宋体" w:hAnsi="宋体" w:eastAsia="宋体"/>
          <w:szCs w:val="21"/>
        </w:rPr>
        <w:t>3．我方承诺在</w:t>
      </w:r>
      <w:r>
        <w:rPr>
          <w:rFonts w:hint="eastAsia" w:ascii="宋体" w:hAnsi="宋体"/>
          <w:szCs w:val="21"/>
          <w:lang w:eastAsia="zh-CN"/>
        </w:rPr>
        <w:t>竞争谈判</w:t>
      </w:r>
      <w:r>
        <w:rPr>
          <w:rFonts w:hint="eastAsia" w:ascii="宋体" w:hAnsi="宋体" w:eastAsia="宋体"/>
          <w:szCs w:val="21"/>
          <w:lang w:eastAsia="zh-CN"/>
        </w:rPr>
        <w:t>文件</w:t>
      </w:r>
      <w:r>
        <w:rPr>
          <w:rFonts w:ascii="宋体" w:hAnsi="宋体" w:eastAsia="宋体"/>
          <w:szCs w:val="21"/>
        </w:rPr>
        <w:t>规定的</w:t>
      </w:r>
      <w:r>
        <w:rPr>
          <w:rFonts w:hint="eastAsia" w:ascii="宋体" w:hAnsi="宋体" w:eastAsia="宋体"/>
          <w:szCs w:val="21"/>
          <w:lang w:eastAsia="zh-CN"/>
        </w:rPr>
        <w:t>谈判</w:t>
      </w:r>
      <w:r>
        <w:rPr>
          <w:rFonts w:hint="eastAsia" w:ascii="宋体" w:hAnsi="宋体" w:eastAsia="宋体"/>
          <w:szCs w:val="21"/>
        </w:rPr>
        <w:t>有效期</w:t>
      </w:r>
      <w:r>
        <w:rPr>
          <w:rFonts w:ascii="宋体" w:hAnsi="宋体" w:eastAsia="宋体"/>
          <w:szCs w:val="21"/>
        </w:rPr>
        <w:t>内不撤销</w:t>
      </w:r>
      <w:r>
        <w:rPr>
          <w:rFonts w:hint="eastAsia" w:ascii="宋体" w:hAnsi="宋体" w:eastAsia="宋体"/>
          <w:szCs w:val="21"/>
          <w:lang w:eastAsia="zh-CN"/>
        </w:rPr>
        <w:t>响应文件</w:t>
      </w:r>
      <w:r>
        <w:rPr>
          <w:rFonts w:ascii="宋体" w:hAnsi="宋体" w:eastAsia="宋体"/>
          <w:szCs w:val="21"/>
        </w:rPr>
        <w:t>。</w:t>
      </w:r>
    </w:p>
    <w:p w14:paraId="057EC2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Cs w:val="21"/>
        </w:rPr>
      </w:pPr>
      <w:r>
        <w:rPr>
          <w:rFonts w:ascii="宋体" w:hAnsi="宋体" w:eastAsia="宋体"/>
          <w:szCs w:val="21"/>
        </w:rPr>
        <w:t>4．如我方</w:t>
      </w:r>
      <w:r>
        <w:rPr>
          <w:rFonts w:hint="eastAsia" w:ascii="宋体" w:hAnsi="宋体" w:eastAsia="宋体"/>
          <w:szCs w:val="21"/>
        </w:rPr>
        <w:t>成交</w:t>
      </w:r>
      <w:r>
        <w:rPr>
          <w:rFonts w:ascii="宋体" w:hAnsi="宋体" w:eastAsia="宋体"/>
          <w:szCs w:val="21"/>
        </w:rPr>
        <w:t>，我方承诺：</w:t>
      </w:r>
    </w:p>
    <w:p w14:paraId="22087844">
      <w:pPr>
        <w:keepNext w:val="0"/>
        <w:keepLines w:val="0"/>
        <w:pageBreakBefore w:val="0"/>
        <w:widowControl w:val="0"/>
        <w:kinsoku/>
        <w:wordWrap/>
        <w:overflowPunct/>
        <w:topLinePunct w:val="0"/>
        <w:autoSpaceDE/>
        <w:autoSpaceDN/>
        <w:bidi w:val="0"/>
        <w:adjustRightInd/>
        <w:snapToGrid/>
        <w:spacing w:line="400" w:lineRule="exact"/>
        <w:ind w:left="945" w:leftChars="400" w:hanging="105" w:hangingChars="50"/>
        <w:textAlignment w:val="auto"/>
        <w:rPr>
          <w:rFonts w:ascii="宋体" w:hAnsi="宋体" w:eastAsia="宋体"/>
          <w:szCs w:val="21"/>
        </w:rPr>
      </w:pPr>
      <w:r>
        <w:rPr>
          <w:rFonts w:ascii="宋体" w:hAnsi="宋体" w:eastAsia="宋体"/>
          <w:szCs w:val="21"/>
        </w:rPr>
        <w:t>（1）在收到</w:t>
      </w:r>
      <w:r>
        <w:rPr>
          <w:rFonts w:hint="eastAsia" w:ascii="宋体" w:hAnsi="宋体" w:eastAsia="宋体"/>
          <w:szCs w:val="21"/>
        </w:rPr>
        <w:t>成交通知书</w:t>
      </w:r>
      <w:r>
        <w:rPr>
          <w:rFonts w:ascii="宋体" w:hAnsi="宋体" w:eastAsia="宋体"/>
          <w:szCs w:val="21"/>
        </w:rPr>
        <w:t>后，在</w:t>
      </w:r>
      <w:r>
        <w:rPr>
          <w:rFonts w:hint="eastAsia" w:ascii="宋体" w:hAnsi="宋体" w:eastAsia="宋体"/>
          <w:szCs w:val="21"/>
        </w:rPr>
        <w:t>成交通知书</w:t>
      </w:r>
      <w:r>
        <w:rPr>
          <w:rFonts w:ascii="宋体" w:hAnsi="宋体" w:eastAsia="宋体"/>
          <w:szCs w:val="21"/>
        </w:rPr>
        <w:t>规定的期限内与你方签订合同；</w:t>
      </w:r>
    </w:p>
    <w:p w14:paraId="204060ED">
      <w:pPr>
        <w:keepNext w:val="0"/>
        <w:keepLines w:val="0"/>
        <w:pageBreakBefore w:val="0"/>
        <w:widowControl w:val="0"/>
        <w:kinsoku/>
        <w:wordWrap/>
        <w:overflowPunct/>
        <w:topLinePunct w:val="0"/>
        <w:autoSpaceDE/>
        <w:autoSpaceDN/>
        <w:bidi w:val="0"/>
        <w:adjustRightInd/>
        <w:snapToGrid/>
        <w:spacing w:line="400" w:lineRule="exact"/>
        <w:ind w:left="945" w:leftChars="400" w:hanging="105" w:hangingChars="50"/>
        <w:textAlignment w:val="auto"/>
        <w:rPr>
          <w:rFonts w:ascii="宋体" w:hAnsi="宋体" w:eastAsia="宋体"/>
          <w:szCs w:val="21"/>
        </w:rPr>
      </w:pPr>
      <w:r>
        <w:rPr>
          <w:rFonts w:ascii="宋体" w:hAnsi="宋体" w:eastAsia="宋体"/>
          <w:szCs w:val="21"/>
        </w:rPr>
        <w:t>（2）在签订合同时不向你方提出附加条件；</w:t>
      </w:r>
    </w:p>
    <w:p w14:paraId="2515E085">
      <w:pPr>
        <w:keepNext w:val="0"/>
        <w:keepLines w:val="0"/>
        <w:pageBreakBefore w:val="0"/>
        <w:widowControl w:val="0"/>
        <w:kinsoku/>
        <w:wordWrap/>
        <w:overflowPunct/>
        <w:topLinePunct w:val="0"/>
        <w:autoSpaceDE/>
        <w:autoSpaceDN/>
        <w:bidi w:val="0"/>
        <w:adjustRightInd/>
        <w:snapToGrid/>
        <w:spacing w:line="400" w:lineRule="exact"/>
        <w:ind w:left="945" w:leftChars="400" w:hanging="105" w:hangingChars="50"/>
        <w:textAlignment w:val="auto"/>
        <w:rPr>
          <w:rFonts w:ascii="宋体" w:hAnsi="宋体" w:eastAsia="宋体"/>
          <w:szCs w:val="21"/>
        </w:rPr>
      </w:pPr>
      <w:r>
        <w:rPr>
          <w:rFonts w:ascii="宋体" w:hAnsi="宋体" w:eastAsia="宋体"/>
          <w:szCs w:val="21"/>
        </w:rPr>
        <w:t>（3）按照</w:t>
      </w:r>
      <w:r>
        <w:rPr>
          <w:rFonts w:hint="eastAsia" w:ascii="宋体" w:hAnsi="宋体"/>
          <w:szCs w:val="21"/>
          <w:lang w:eastAsia="zh-CN"/>
        </w:rPr>
        <w:t>竞争谈判</w:t>
      </w:r>
      <w:r>
        <w:rPr>
          <w:rFonts w:hint="eastAsia" w:ascii="宋体" w:hAnsi="宋体" w:eastAsia="宋体"/>
          <w:szCs w:val="21"/>
          <w:lang w:eastAsia="zh-CN"/>
        </w:rPr>
        <w:t>文件</w:t>
      </w:r>
      <w:r>
        <w:rPr>
          <w:rFonts w:ascii="宋体" w:hAnsi="宋体" w:eastAsia="宋体"/>
          <w:szCs w:val="21"/>
        </w:rPr>
        <w:t>要求提交履约保证金；</w:t>
      </w:r>
      <w:bookmarkStart w:id="740" w:name="_Toc1187"/>
      <w:bookmarkStart w:id="741" w:name="_Toc369531694"/>
      <w:bookmarkStart w:id="742" w:name="_Toc352691658"/>
    </w:p>
    <w:p w14:paraId="3BE61A3D">
      <w:pPr>
        <w:keepNext w:val="0"/>
        <w:keepLines w:val="0"/>
        <w:pageBreakBefore w:val="0"/>
        <w:widowControl w:val="0"/>
        <w:kinsoku/>
        <w:wordWrap/>
        <w:overflowPunct/>
        <w:topLinePunct w:val="0"/>
        <w:autoSpaceDE/>
        <w:autoSpaceDN/>
        <w:bidi w:val="0"/>
        <w:adjustRightInd/>
        <w:snapToGrid/>
        <w:spacing w:line="400" w:lineRule="exact"/>
        <w:ind w:left="945" w:leftChars="400" w:hanging="105" w:hangingChars="50"/>
        <w:textAlignment w:val="auto"/>
        <w:rPr>
          <w:rFonts w:ascii="宋体" w:hAnsi="宋体" w:eastAsia="宋体"/>
          <w:szCs w:val="21"/>
        </w:rPr>
      </w:pPr>
      <w:r>
        <w:rPr>
          <w:rFonts w:ascii="宋体" w:hAnsi="宋体" w:eastAsia="宋体"/>
          <w:szCs w:val="21"/>
        </w:rPr>
        <w:t>（4）在合</w:t>
      </w:r>
      <w:bookmarkEnd w:id="740"/>
      <w:bookmarkEnd w:id="741"/>
      <w:bookmarkEnd w:id="742"/>
      <w:r>
        <w:rPr>
          <w:rFonts w:ascii="宋体" w:hAnsi="宋体" w:eastAsia="宋体"/>
          <w:szCs w:val="21"/>
        </w:rPr>
        <w:t>同约定的期限内完成合同规定的全部义务。</w:t>
      </w:r>
    </w:p>
    <w:p w14:paraId="0DEA78D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Cs w:val="21"/>
        </w:rPr>
      </w:pPr>
      <w:r>
        <w:rPr>
          <w:rFonts w:ascii="宋体" w:hAnsi="宋体" w:eastAsia="宋体"/>
          <w:szCs w:val="21"/>
        </w:rPr>
        <w:t>5．我方在此声明，所递交的</w:t>
      </w:r>
      <w:r>
        <w:rPr>
          <w:rFonts w:hint="eastAsia" w:ascii="宋体" w:hAnsi="宋体" w:eastAsia="宋体"/>
          <w:szCs w:val="21"/>
          <w:lang w:eastAsia="zh-CN"/>
        </w:rPr>
        <w:t>响应文件</w:t>
      </w:r>
      <w:r>
        <w:rPr>
          <w:rFonts w:ascii="宋体" w:hAnsi="宋体" w:eastAsia="宋体"/>
          <w:szCs w:val="21"/>
        </w:rPr>
        <w:t>及有关资料内容完整、真实和准确，且不存在第二章“</w:t>
      </w:r>
      <w:r>
        <w:rPr>
          <w:rFonts w:hint="eastAsia" w:ascii="宋体" w:hAnsi="宋体" w:eastAsia="宋体"/>
          <w:szCs w:val="21"/>
        </w:rPr>
        <w:t>供应商</w:t>
      </w:r>
      <w:r>
        <w:rPr>
          <w:rFonts w:ascii="宋体" w:hAnsi="宋体" w:eastAsia="宋体"/>
          <w:szCs w:val="21"/>
        </w:rPr>
        <w:t>须知”第1.4.3项规定的任何一种情形。</w:t>
      </w:r>
    </w:p>
    <w:p w14:paraId="04ECF08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szCs w:val="21"/>
        </w:rPr>
      </w:pPr>
      <w:r>
        <w:rPr>
          <w:rFonts w:ascii="宋体" w:hAnsi="宋体" w:eastAsia="宋体"/>
          <w:szCs w:val="21"/>
        </w:rPr>
        <w:t>6．</w:t>
      </w:r>
      <w:r>
        <w:rPr>
          <w:rFonts w:ascii="宋体" w:hAnsi="宋体" w:eastAsia="宋体"/>
          <w:szCs w:val="21"/>
          <w:u w:val="single"/>
        </w:rPr>
        <w:t xml:space="preserve">                            </w:t>
      </w:r>
      <w:r>
        <w:rPr>
          <w:rFonts w:ascii="宋体" w:hAnsi="宋体" w:eastAsia="宋体"/>
          <w:szCs w:val="21"/>
          <w:u w:val="single"/>
        </w:rPr>
        <w:tab/>
      </w:r>
      <w:r>
        <w:rPr>
          <w:rFonts w:ascii="宋体" w:hAnsi="宋体" w:eastAsia="宋体"/>
          <w:szCs w:val="21"/>
        </w:rPr>
        <w:t>（其他补充说明）。</w:t>
      </w:r>
    </w:p>
    <w:bookmarkEnd w:id="531"/>
    <w:bookmarkEnd w:id="532"/>
    <w:bookmarkEnd w:id="533"/>
    <w:bookmarkEnd w:id="534"/>
    <w:bookmarkEnd w:id="535"/>
    <w:bookmarkEnd w:id="536"/>
    <w:bookmarkEnd w:id="537"/>
    <w:bookmarkEnd w:id="538"/>
    <w:bookmarkEnd w:id="539"/>
    <w:p w14:paraId="0F5B8976">
      <w:pPr>
        <w:keepNext w:val="0"/>
        <w:keepLines w:val="0"/>
        <w:pageBreakBefore w:val="0"/>
        <w:widowControl w:val="0"/>
        <w:kinsoku/>
        <w:wordWrap/>
        <w:overflowPunct/>
        <w:topLinePunct w:val="0"/>
        <w:autoSpaceDE/>
        <w:autoSpaceDN/>
        <w:bidi w:val="0"/>
        <w:adjustRightInd/>
        <w:snapToGrid/>
        <w:spacing w:line="400" w:lineRule="exact"/>
        <w:ind w:firstLine="2520" w:firstLineChars="1200"/>
        <w:jc w:val="left"/>
        <w:textAlignment w:val="auto"/>
        <w:rPr>
          <w:rFonts w:ascii="宋体" w:hAnsi="宋体" w:eastAsia="宋体"/>
          <w:szCs w:val="21"/>
        </w:rPr>
      </w:pPr>
      <w:bookmarkStart w:id="743" w:name="_Toc352691660"/>
      <w:bookmarkEnd w:id="743"/>
      <w:bookmarkStart w:id="744" w:name="_Toc16568"/>
      <w:bookmarkEnd w:id="744"/>
      <w:bookmarkStart w:id="745" w:name="_Toc369531696"/>
      <w:bookmarkEnd w:id="745"/>
      <w:bookmarkStart w:id="746" w:name="_Toc369531695"/>
      <w:bookmarkEnd w:id="746"/>
      <w:bookmarkStart w:id="747" w:name="_Toc16824"/>
      <w:bookmarkEnd w:id="747"/>
      <w:bookmarkStart w:id="748" w:name="_Toc352691659"/>
      <w:bookmarkEnd w:id="748"/>
      <w:r>
        <w:rPr>
          <w:rFonts w:hint="eastAsia" w:ascii="宋体" w:hAnsi="宋体" w:eastAsia="宋体"/>
          <w:szCs w:val="21"/>
        </w:rPr>
        <w:t>供应商</w:t>
      </w:r>
      <w:r>
        <w:rPr>
          <w:rFonts w:ascii="宋体" w:hAnsi="宋体" w:eastAsia="宋体"/>
          <w:szCs w:val="21"/>
        </w:rPr>
        <w:t>：</w:t>
      </w:r>
      <w:r>
        <w:rPr>
          <w:rFonts w:ascii="宋体" w:hAnsi="宋体" w:eastAsia="宋体"/>
          <w:szCs w:val="21"/>
          <w:u w:val="single"/>
        </w:rPr>
        <w:t xml:space="preserve">                                </w:t>
      </w:r>
      <w:r>
        <w:rPr>
          <w:rFonts w:ascii="宋体" w:hAnsi="宋体" w:eastAsia="宋体"/>
          <w:szCs w:val="21"/>
          <w:u w:val="single"/>
        </w:rPr>
        <w:tab/>
      </w:r>
      <w:r>
        <w:rPr>
          <w:rFonts w:ascii="宋体" w:hAnsi="宋体" w:eastAsia="宋体"/>
          <w:szCs w:val="21"/>
        </w:rPr>
        <w:t>（</w:t>
      </w:r>
      <w:r>
        <w:rPr>
          <w:rFonts w:hint="eastAsia" w:ascii="宋体" w:hAnsi="宋体" w:eastAsia="宋体"/>
          <w:szCs w:val="21"/>
        </w:rPr>
        <w:t>公章</w:t>
      </w:r>
      <w:r>
        <w:rPr>
          <w:rFonts w:ascii="宋体" w:hAnsi="宋体" w:eastAsia="宋体"/>
          <w:szCs w:val="21"/>
        </w:rPr>
        <w:t>）</w:t>
      </w:r>
    </w:p>
    <w:p w14:paraId="5265C8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Cs w:val="21"/>
        </w:rPr>
      </w:pPr>
      <w:r>
        <w:rPr>
          <w:rFonts w:ascii="宋体" w:hAnsi="宋体" w:eastAsia="宋体"/>
        </w:rPr>
        <w:t xml:space="preserve">                        法定代表人</w:t>
      </w:r>
      <w:r>
        <w:rPr>
          <w:rFonts w:ascii="宋体" w:hAnsi="宋体" w:eastAsia="宋体"/>
          <w:szCs w:val="21"/>
        </w:rPr>
        <w:t>或其委托代理人：</w:t>
      </w:r>
      <w:r>
        <w:rPr>
          <w:rFonts w:ascii="宋体" w:hAnsi="宋体" w:eastAsia="宋体"/>
          <w:szCs w:val="21"/>
          <w:u w:val="single"/>
        </w:rPr>
        <w:t xml:space="preserve">       </w:t>
      </w:r>
      <w:r>
        <w:rPr>
          <w:rFonts w:ascii="宋体" w:hAnsi="宋体" w:eastAsia="宋体"/>
          <w:szCs w:val="21"/>
          <w:u w:val="single"/>
        </w:rPr>
        <w:tab/>
      </w:r>
      <w:r>
        <w:rPr>
          <w:rFonts w:ascii="宋体" w:hAnsi="宋体" w:eastAsia="宋体"/>
          <w:szCs w:val="21"/>
        </w:rPr>
        <w:t>（签字）</w:t>
      </w:r>
    </w:p>
    <w:p w14:paraId="00719A7E">
      <w:pPr>
        <w:keepNext w:val="0"/>
        <w:keepLines w:val="0"/>
        <w:pageBreakBefore w:val="0"/>
        <w:widowControl w:val="0"/>
        <w:kinsoku/>
        <w:wordWrap/>
        <w:overflowPunct/>
        <w:topLinePunct w:val="0"/>
        <w:autoSpaceDE/>
        <w:autoSpaceDN/>
        <w:bidi w:val="0"/>
        <w:adjustRightInd/>
        <w:snapToGrid/>
        <w:spacing w:line="400" w:lineRule="exact"/>
        <w:ind w:firstLine="2520" w:firstLineChars="1200"/>
        <w:jc w:val="left"/>
        <w:textAlignment w:val="auto"/>
        <w:rPr>
          <w:rFonts w:ascii="Times New Roman" w:hAnsi="Times New Roman"/>
          <w:szCs w:val="21"/>
        </w:rPr>
      </w:pPr>
      <w:r>
        <w:rPr>
          <w:rFonts w:ascii="宋体" w:hAnsi="宋体" w:eastAsia="宋体"/>
          <w:szCs w:val="21"/>
        </w:rPr>
        <w:t>地    址：</w:t>
      </w:r>
      <w:r>
        <w:rPr>
          <w:rFonts w:ascii="宋体" w:hAnsi="宋体" w:eastAsia="宋体"/>
          <w:szCs w:val="21"/>
          <w:u w:val="single"/>
        </w:rPr>
        <w:t xml:space="preserve">          </w:t>
      </w:r>
      <w:r>
        <w:rPr>
          <w:rFonts w:ascii="宋体" w:hAnsi="宋体" w:eastAsia="宋体"/>
          <w:szCs w:val="21"/>
          <w:u w:val="single"/>
        </w:rPr>
        <w:tab/>
      </w:r>
      <w:r>
        <w:rPr>
          <w:rFonts w:ascii="宋体" w:hAnsi="宋体" w:eastAsia="宋体"/>
          <w:szCs w:val="21"/>
          <w:u w:val="single"/>
        </w:rPr>
        <w:t xml:space="preserve">                             </w:t>
      </w:r>
      <w:r>
        <w:rPr>
          <w:rFonts w:ascii="宋体" w:hAnsi="宋体" w:eastAsia="宋体"/>
          <w:szCs w:val="21"/>
          <w:u w:val="single"/>
        </w:rPr>
        <w:tab/>
      </w:r>
    </w:p>
    <w:p w14:paraId="35C0772E">
      <w:pPr>
        <w:keepNext w:val="0"/>
        <w:keepLines w:val="0"/>
        <w:pageBreakBefore w:val="0"/>
        <w:widowControl w:val="0"/>
        <w:kinsoku/>
        <w:wordWrap/>
        <w:overflowPunct/>
        <w:topLinePunct w:val="0"/>
        <w:autoSpaceDE/>
        <w:autoSpaceDN/>
        <w:bidi w:val="0"/>
        <w:adjustRightInd/>
        <w:snapToGrid/>
        <w:spacing w:line="400" w:lineRule="exact"/>
        <w:ind w:firstLine="2520" w:firstLineChars="1200"/>
        <w:jc w:val="left"/>
        <w:textAlignment w:val="auto"/>
        <w:rPr>
          <w:rFonts w:ascii="Times New Roman" w:hAnsi="Times New Roman"/>
          <w:szCs w:val="21"/>
        </w:rPr>
      </w:pPr>
      <w:r>
        <w:rPr>
          <w:rFonts w:ascii="Times New Roman" w:hAnsi="Times New Roman"/>
          <w:szCs w:val="21"/>
        </w:rPr>
        <w:t>网    址：</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p>
    <w:p w14:paraId="21922E1E">
      <w:pPr>
        <w:keepNext w:val="0"/>
        <w:keepLines w:val="0"/>
        <w:pageBreakBefore w:val="0"/>
        <w:widowControl w:val="0"/>
        <w:kinsoku/>
        <w:wordWrap/>
        <w:overflowPunct/>
        <w:topLinePunct w:val="0"/>
        <w:autoSpaceDE/>
        <w:autoSpaceDN/>
        <w:bidi w:val="0"/>
        <w:adjustRightInd/>
        <w:snapToGrid/>
        <w:spacing w:line="400" w:lineRule="exact"/>
        <w:ind w:firstLine="2520" w:firstLineChars="1200"/>
        <w:jc w:val="left"/>
        <w:textAlignment w:val="auto"/>
        <w:rPr>
          <w:rFonts w:ascii="Times New Roman" w:hAnsi="Times New Roman"/>
          <w:szCs w:val="21"/>
        </w:rPr>
      </w:pPr>
      <w:r>
        <w:rPr>
          <w:rFonts w:ascii="Times New Roman" w:hAnsi="Times New Roman"/>
          <w:szCs w:val="21"/>
        </w:rPr>
        <w:t>电    话：</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p>
    <w:p w14:paraId="78C4DE9A">
      <w:pPr>
        <w:keepNext w:val="0"/>
        <w:keepLines w:val="0"/>
        <w:pageBreakBefore w:val="0"/>
        <w:widowControl w:val="0"/>
        <w:kinsoku/>
        <w:wordWrap/>
        <w:overflowPunct/>
        <w:topLinePunct w:val="0"/>
        <w:autoSpaceDE/>
        <w:autoSpaceDN/>
        <w:bidi w:val="0"/>
        <w:adjustRightInd/>
        <w:snapToGrid/>
        <w:spacing w:line="400" w:lineRule="exact"/>
        <w:ind w:firstLine="2520" w:firstLineChars="1200"/>
        <w:jc w:val="left"/>
        <w:textAlignment w:val="auto"/>
        <w:rPr>
          <w:rFonts w:ascii="Times New Roman" w:hAnsi="Times New Roman"/>
          <w:szCs w:val="21"/>
        </w:rPr>
      </w:pPr>
      <w:r>
        <w:rPr>
          <w:rFonts w:ascii="Times New Roman" w:hAnsi="Times New Roman"/>
          <w:szCs w:val="21"/>
        </w:rPr>
        <w:t>传    真：</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p>
    <w:p w14:paraId="3006664E">
      <w:pPr>
        <w:keepNext w:val="0"/>
        <w:keepLines w:val="0"/>
        <w:pageBreakBefore w:val="0"/>
        <w:widowControl w:val="0"/>
        <w:kinsoku/>
        <w:wordWrap/>
        <w:overflowPunct/>
        <w:topLinePunct w:val="0"/>
        <w:autoSpaceDE/>
        <w:autoSpaceDN/>
        <w:bidi w:val="0"/>
        <w:adjustRightInd/>
        <w:snapToGrid/>
        <w:spacing w:line="400" w:lineRule="exact"/>
        <w:ind w:firstLine="2520" w:firstLineChars="1200"/>
        <w:jc w:val="left"/>
        <w:textAlignment w:val="auto"/>
        <w:rPr>
          <w:rFonts w:ascii="Times New Roman" w:hAnsi="Times New Roman"/>
          <w:szCs w:val="21"/>
        </w:rPr>
      </w:pPr>
      <w:r>
        <w:rPr>
          <w:rFonts w:ascii="Times New Roman" w:hAnsi="Times New Roman"/>
          <w:szCs w:val="21"/>
        </w:rPr>
        <w:t>邮政编码：</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u w:val="single"/>
        </w:rPr>
        <w:t xml:space="preserve">                                </w:t>
      </w:r>
    </w:p>
    <w:p w14:paraId="047728B9">
      <w:pPr>
        <w:keepNext w:val="0"/>
        <w:keepLines w:val="0"/>
        <w:pageBreakBefore w:val="0"/>
        <w:widowControl w:val="0"/>
        <w:kinsoku/>
        <w:wordWrap/>
        <w:overflowPunct/>
        <w:topLinePunct w:val="0"/>
        <w:autoSpaceDE/>
        <w:autoSpaceDN/>
        <w:bidi w:val="0"/>
        <w:adjustRightInd/>
        <w:snapToGrid/>
        <w:spacing w:line="400" w:lineRule="exact"/>
        <w:ind w:firstLine="4725" w:firstLineChars="2250"/>
        <w:jc w:val="right"/>
        <w:textAlignment w:val="auto"/>
        <w:rPr>
          <w:rFonts w:ascii="Times New Roman" w:hAnsi="Times New Roman"/>
          <w:szCs w:val="21"/>
        </w:rPr>
      </w:pPr>
      <w:r>
        <w:rPr>
          <w:rFonts w:ascii="Times New Roman" w:hAnsi="Times New Roman"/>
          <w:u w:val="single"/>
        </w:rPr>
        <w:t xml:space="preserve">      </w:t>
      </w:r>
      <w:r>
        <w:rPr>
          <w:rFonts w:ascii="Times New Roman" w:hAnsi="Times New Roman"/>
          <w:szCs w:val="21"/>
        </w:rPr>
        <w:t>年</w:t>
      </w:r>
      <w:r>
        <w:rPr>
          <w:rFonts w:ascii="Times New Roman" w:hAnsi="Times New Roman"/>
          <w:u w:val="single"/>
        </w:rPr>
        <w:t xml:space="preserve">      </w:t>
      </w:r>
      <w:r>
        <w:rPr>
          <w:rFonts w:ascii="Times New Roman" w:hAnsi="Times New Roman"/>
          <w:szCs w:val="21"/>
        </w:rPr>
        <w:t>月</w:t>
      </w:r>
      <w:r>
        <w:rPr>
          <w:rFonts w:ascii="Times New Roman" w:hAnsi="Times New Roman"/>
          <w:u w:val="single"/>
        </w:rPr>
        <w:t xml:space="preserve">      </w:t>
      </w:r>
      <w:r>
        <w:rPr>
          <w:rFonts w:ascii="Times New Roman" w:hAnsi="Times New Roman"/>
          <w:szCs w:val="21"/>
        </w:rPr>
        <w:t>日</w:t>
      </w:r>
    </w:p>
    <w:p w14:paraId="5625E2C4">
      <w:pPr>
        <w:widowControl/>
        <w:jc w:val="left"/>
        <w:rPr>
          <w:rFonts w:ascii="Times New Roman" w:hAnsi="Times New Roman" w:eastAsia="黑体"/>
          <w:sz w:val="20"/>
        </w:rPr>
      </w:pPr>
      <w:bookmarkStart w:id="749" w:name="_Toc247527827"/>
      <w:bookmarkStart w:id="750" w:name="_Toc300835209"/>
      <w:bookmarkStart w:id="751" w:name="_Toc152045787"/>
      <w:bookmarkStart w:id="752" w:name="_Toc144974856"/>
      <w:bookmarkStart w:id="753" w:name="_Toc384308375"/>
      <w:bookmarkStart w:id="754" w:name="_Toc361508752"/>
      <w:bookmarkStart w:id="755" w:name="_Toc352691661"/>
      <w:bookmarkStart w:id="756" w:name="_Toc369531697"/>
      <w:bookmarkStart w:id="757" w:name="_Toc17960"/>
      <w:bookmarkStart w:id="758" w:name="_Toc247514246"/>
      <w:bookmarkStart w:id="759" w:name="_Toc152042576"/>
    </w:p>
    <w:p w14:paraId="6DF4377D">
      <w:pPr>
        <w:rPr>
          <w:rFonts w:hint="eastAsia" w:ascii="宋体" w:hAnsi="宋体" w:eastAsia="宋体" w:cs="宋体"/>
        </w:rPr>
        <w:sectPr>
          <w:headerReference r:id="rId11" w:type="default"/>
          <w:footerReference r:id="rId12" w:type="default"/>
          <w:pgSz w:w="12240" w:h="15840"/>
          <w:pgMar w:top="1440" w:right="1800" w:bottom="1440" w:left="1800" w:header="720" w:footer="720" w:gutter="0"/>
          <w:pgNumType w:fmt="decimal"/>
          <w:cols w:space="720" w:num="1"/>
          <w:docGrid w:linePitch="285" w:charSpace="0"/>
        </w:sectPr>
      </w:pPr>
      <w:bookmarkStart w:id="760" w:name="_Toc385943066"/>
      <w:bookmarkStart w:id="761" w:name="_Toc391394112"/>
      <w:bookmarkStart w:id="762" w:name="_Toc359594236"/>
      <w:bookmarkStart w:id="763" w:name="_Toc370676427"/>
      <w:bookmarkStart w:id="764" w:name="_Toc482188652"/>
      <w:bookmarkStart w:id="765" w:name="_Toc74125965"/>
      <w:bookmarkStart w:id="766" w:name="_Toc15688"/>
      <w:bookmarkStart w:id="767" w:name="_Toc80884537"/>
      <w:bookmarkStart w:id="768" w:name="_Toc11279"/>
      <w:bookmarkStart w:id="769" w:name="_Toc69937240"/>
      <w:bookmarkStart w:id="770" w:name="_Toc8371"/>
    </w:p>
    <w:bookmarkEnd w:id="760"/>
    <w:bookmarkEnd w:id="761"/>
    <w:bookmarkEnd w:id="762"/>
    <w:bookmarkEnd w:id="763"/>
    <w:bookmarkEnd w:id="764"/>
    <w:bookmarkEnd w:id="765"/>
    <w:bookmarkEnd w:id="766"/>
    <w:bookmarkEnd w:id="767"/>
    <w:bookmarkEnd w:id="768"/>
    <w:bookmarkEnd w:id="769"/>
    <w:bookmarkEnd w:id="770"/>
    <w:p w14:paraId="4F5EC1BF">
      <w:pPr>
        <w:numPr>
          <w:ilvl w:val="0"/>
          <w:numId w:val="0"/>
        </w:numPr>
        <w:ind w:firstLine="840" w:firstLineChars="400"/>
        <w:rPr>
          <w:rFonts w:hint="eastAsia" w:ascii="宋体" w:hAnsi="宋体" w:eastAsia="宋体" w:cs="宋体"/>
          <w:lang w:val="en-US" w:eastAsia="zh-CN"/>
        </w:rPr>
      </w:pPr>
      <w:r>
        <w:rPr>
          <w:rFonts w:hint="eastAsia" w:ascii="宋体" w:hAnsi="宋体" w:eastAsia="宋体" w:cs="宋体"/>
          <w:kern w:val="2"/>
          <w:sz w:val="21"/>
          <w:szCs w:val="22"/>
          <w:lang w:val="en-US" w:eastAsia="zh-CN" w:bidi="ar-SA"/>
        </w:rPr>
        <w:t>（二）</w:t>
      </w:r>
      <w:r>
        <w:rPr>
          <w:rFonts w:hint="eastAsia" w:ascii="宋体" w:hAnsi="宋体" w:eastAsia="宋体" w:cs="宋体"/>
          <w:lang w:val="en-US" w:eastAsia="zh-CN"/>
        </w:rPr>
        <w:t>分项报价表</w:t>
      </w:r>
    </w:p>
    <w:p w14:paraId="7F249C38">
      <w:pPr>
        <w:widowControl w:val="0"/>
        <w:numPr>
          <w:ilvl w:val="0"/>
          <w:numId w:val="0"/>
        </w:numPr>
        <w:jc w:val="both"/>
        <w:rPr>
          <w:rFonts w:hint="default" w:ascii="宋体" w:hAnsi="宋体" w:eastAsia="宋体" w:cs="宋体"/>
          <w:lang w:val="en-US" w:eastAsia="zh-CN"/>
        </w:rPr>
      </w:pPr>
    </w:p>
    <w:tbl>
      <w:tblPr>
        <w:tblStyle w:val="40"/>
        <w:tblW w:w="12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522"/>
        <w:gridCol w:w="5216"/>
        <w:gridCol w:w="689"/>
        <w:gridCol w:w="689"/>
        <w:gridCol w:w="1377"/>
        <w:gridCol w:w="1434"/>
        <w:gridCol w:w="1303"/>
      </w:tblGrid>
      <w:tr w14:paraId="1719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8" w:type="dxa"/>
            <w:noWrap w:val="0"/>
            <w:vAlign w:val="center"/>
          </w:tcPr>
          <w:p w14:paraId="066F6559">
            <w:pPr>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序号</w:t>
            </w:r>
          </w:p>
        </w:tc>
        <w:tc>
          <w:tcPr>
            <w:tcW w:w="1522" w:type="dxa"/>
            <w:noWrap w:val="0"/>
            <w:vAlign w:val="center"/>
          </w:tcPr>
          <w:p w14:paraId="788C19A3">
            <w:pPr>
              <w:jc w:val="center"/>
              <w:rPr>
                <w:rFonts w:hint="default" w:eastAsia="宋体"/>
                <w:color w:val="auto"/>
                <w:sz w:val="18"/>
                <w:szCs w:val="18"/>
                <w:highlight w:val="none"/>
                <w:lang w:val="en-US" w:eastAsia="zh-CN"/>
              </w:rPr>
            </w:pPr>
            <w:r>
              <w:rPr>
                <w:rFonts w:hint="eastAsia"/>
                <w:color w:val="auto"/>
                <w:sz w:val="18"/>
                <w:szCs w:val="18"/>
                <w:highlight w:val="none"/>
                <w:lang w:val="en-US" w:eastAsia="zh-CN"/>
              </w:rPr>
              <w:t>货物名称</w:t>
            </w:r>
          </w:p>
        </w:tc>
        <w:tc>
          <w:tcPr>
            <w:tcW w:w="5216" w:type="dxa"/>
            <w:noWrap w:val="0"/>
            <w:vAlign w:val="center"/>
          </w:tcPr>
          <w:p w14:paraId="1E116207">
            <w:pPr>
              <w:jc w:val="center"/>
              <w:rPr>
                <w:rFonts w:hint="default" w:hAnsi="宋体" w:eastAsia="宋体"/>
                <w:snapToGrid w:val="0"/>
                <w:color w:val="auto"/>
                <w:sz w:val="18"/>
                <w:szCs w:val="18"/>
                <w:highlight w:val="none"/>
                <w:lang w:val="en-US" w:eastAsia="zh-CN"/>
              </w:rPr>
            </w:pPr>
            <w:r>
              <w:rPr>
                <w:rFonts w:hint="eastAsia" w:hAnsi="宋体"/>
                <w:snapToGrid w:val="0"/>
                <w:color w:val="auto"/>
                <w:sz w:val="18"/>
                <w:szCs w:val="18"/>
                <w:highlight w:val="none"/>
                <w:lang w:val="en-US" w:eastAsia="zh-CN"/>
              </w:rPr>
              <w:t>规格型号及技术参数</w:t>
            </w:r>
          </w:p>
        </w:tc>
        <w:tc>
          <w:tcPr>
            <w:tcW w:w="689" w:type="dxa"/>
            <w:noWrap w:val="0"/>
            <w:vAlign w:val="center"/>
          </w:tcPr>
          <w:p w14:paraId="3B831A4A">
            <w:pPr>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单位</w:t>
            </w:r>
          </w:p>
        </w:tc>
        <w:tc>
          <w:tcPr>
            <w:tcW w:w="689" w:type="dxa"/>
            <w:noWrap w:val="0"/>
            <w:vAlign w:val="center"/>
          </w:tcPr>
          <w:p w14:paraId="360FD5B8">
            <w:pPr>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数量</w:t>
            </w:r>
          </w:p>
        </w:tc>
        <w:tc>
          <w:tcPr>
            <w:tcW w:w="1377" w:type="dxa"/>
            <w:noWrap w:val="0"/>
            <w:vAlign w:val="center"/>
          </w:tcPr>
          <w:p w14:paraId="4A7F6620">
            <w:pPr>
              <w:jc w:val="center"/>
              <w:rPr>
                <w:rFonts w:hint="eastAsia"/>
                <w:color w:val="auto"/>
                <w:sz w:val="18"/>
                <w:szCs w:val="18"/>
                <w:highlight w:val="none"/>
                <w:lang w:val="en-US" w:eastAsia="zh-CN"/>
              </w:rPr>
            </w:pPr>
            <w:r>
              <w:rPr>
                <w:rFonts w:hint="eastAsia"/>
                <w:color w:val="auto"/>
                <w:sz w:val="18"/>
                <w:szCs w:val="18"/>
                <w:highlight w:val="none"/>
                <w:lang w:val="en-US" w:eastAsia="zh-CN"/>
              </w:rPr>
              <w:t>单价</w:t>
            </w:r>
          </w:p>
          <w:p w14:paraId="599A8BD5">
            <w:pPr>
              <w:jc w:val="center"/>
              <w:rPr>
                <w:rFonts w:hint="default"/>
                <w:color w:val="auto"/>
                <w:sz w:val="18"/>
                <w:szCs w:val="18"/>
                <w:highlight w:val="none"/>
                <w:lang w:val="en-US" w:eastAsia="zh-CN"/>
              </w:rPr>
            </w:pPr>
            <w:r>
              <w:rPr>
                <w:rFonts w:hint="eastAsia"/>
                <w:color w:val="auto"/>
                <w:sz w:val="18"/>
                <w:szCs w:val="18"/>
                <w:highlight w:val="none"/>
                <w:lang w:val="en-US" w:eastAsia="zh-CN"/>
              </w:rPr>
              <w:t>（不含税，元）</w:t>
            </w:r>
          </w:p>
        </w:tc>
        <w:tc>
          <w:tcPr>
            <w:tcW w:w="1434" w:type="dxa"/>
            <w:noWrap w:val="0"/>
            <w:vAlign w:val="center"/>
          </w:tcPr>
          <w:p w14:paraId="51A76C9B">
            <w:pPr>
              <w:jc w:val="center"/>
              <w:rPr>
                <w:rFonts w:hint="eastAsia"/>
                <w:color w:val="auto"/>
                <w:sz w:val="18"/>
                <w:szCs w:val="18"/>
                <w:highlight w:val="none"/>
                <w:lang w:val="en-US" w:eastAsia="zh-CN"/>
              </w:rPr>
            </w:pPr>
            <w:r>
              <w:rPr>
                <w:rFonts w:hint="eastAsia"/>
                <w:color w:val="auto"/>
                <w:sz w:val="18"/>
                <w:szCs w:val="18"/>
                <w:highlight w:val="none"/>
                <w:lang w:val="en-US" w:eastAsia="zh-CN"/>
              </w:rPr>
              <w:t>合价</w:t>
            </w:r>
          </w:p>
          <w:p w14:paraId="33829EA4">
            <w:pPr>
              <w:jc w:val="center"/>
              <w:rPr>
                <w:rFonts w:hint="default"/>
                <w:color w:val="auto"/>
                <w:sz w:val="18"/>
                <w:szCs w:val="18"/>
                <w:highlight w:val="none"/>
                <w:lang w:val="en-US" w:eastAsia="zh-CN"/>
              </w:rPr>
            </w:pPr>
            <w:r>
              <w:rPr>
                <w:rFonts w:hint="eastAsia"/>
                <w:color w:val="auto"/>
                <w:sz w:val="18"/>
                <w:szCs w:val="18"/>
                <w:highlight w:val="none"/>
                <w:lang w:val="en-US" w:eastAsia="zh-CN"/>
              </w:rPr>
              <w:t>（不含税，元）</w:t>
            </w:r>
          </w:p>
        </w:tc>
        <w:tc>
          <w:tcPr>
            <w:tcW w:w="1303" w:type="dxa"/>
            <w:noWrap w:val="0"/>
            <w:vAlign w:val="center"/>
          </w:tcPr>
          <w:p w14:paraId="45DECB11">
            <w:pPr>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备注</w:t>
            </w:r>
          </w:p>
        </w:tc>
      </w:tr>
      <w:tr w14:paraId="681A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8" w:type="dxa"/>
            <w:noWrap w:val="0"/>
            <w:vAlign w:val="center"/>
          </w:tcPr>
          <w:p w14:paraId="06BA915F">
            <w:pPr>
              <w:jc w:val="center"/>
              <w:rPr>
                <w:rFonts w:hint="eastAsia" w:ascii="Times New Roman" w:hAnsi="Times New Roman"/>
                <w:color w:val="auto"/>
                <w:kern w:val="0"/>
                <w:sz w:val="16"/>
                <w:szCs w:val="16"/>
                <w:highlight w:val="none"/>
                <w:lang w:val="en-US" w:eastAsia="zh-CN" w:bidi="ar"/>
              </w:rPr>
            </w:pPr>
            <w:r>
              <w:rPr>
                <w:color w:val="auto"/>
                <w:sz w:val="18"/>
                <w:szCs w:val="18"/>
                <w:highlight w:val="none"/>
              </w:rPr>
              <w:t>1</w:t>
            </w:r>
          </w:p>
        </w:tc>
        <w:tc>
          <w:tcPr>
            <w:tcW w:w="1522" w:type="dxa"/>
            <w:noWrap w:val="0"/>
            <w:vAlign w:val="center"/>
          </w:tcPr>
          <w:p w14:paraId="7839B309">
            <w:pPr>
              <w:jc w:val="center"/>
              <w:rPr>
                <w:rFonts w:hint="eastAsia"/>
                <w:color w:val="auto"/>
                <w:sz w:val="18"/>
                <w:szCs w:val="18"/>
                <w:highlight w:val="none"/>
              </w:rPr>
            </w:pPr>
          </w:p>
        </w:tc>
        <w:tc>
          <w:tcPr>
            <w:tcW w:w="5216" w:type="dxa"/>
            <w:noWrap w:val="0"/>
            <w:vAlign w:val="center"/>
          </w:tcPr>
          <w:p w14:paraId="40128786">
            <w:pPr>
              <w:jc w:val="left"/>
              <w:rPr>
                <w:rFonts w:hint="eastAsia"/>
                <w:color w:val="auto"/>
                <w:sz w:val="18"/>
                <w:szCs w:val="18"/>
                <w:highlight w:val="none"/>
              </w:rPr>
            </w:pPr>
          </w:p>
        </w:tc>
        <w:tc>
          <w:tcPr>
            <w:tcW w:w="689" w:type="dxa"/>
            <w:noWrap w:val="0"/>
            <w:vAlign w:val="center"/>
          </w:tcPr>
          <w:p w14:paraId="109DC651">
            <w:pPr>
              <w:jc w:val="center"/>
              <w:rPr>
                <w:rFonts w:hint="eastAsia"/>
                <w:color w:val="auto"/>
                <w:sz w:val="18"/>
                <w:szCs w:val="18"/>
                <w:highlight w:val="none"/>
              </w:rPr>
            </w:pPr>
          </w:p>
        </w:tc>
        <w:tc>
          <w:tcPr>
            <w:tcW w:w="689" w:type="dxa"/>
            <w:noWrap w:val="0"/>
            <w:vAlign w:val="center"/>
          </w:tcPr>
          <w:p w14:paraId="3BA3EBE3">
            <w:pPr>
              <w:jc w:val="center"/>
              <w:rPr>
                <w:rFonts w:hint="eastAsia"/>
                <w:color w:val="auto"/>
                <w:sz w:val="18"/>
                <w:szCs w:val="18"/>
                <w:highlight w:val="none"/>
              </w:rPr>
            </w:pPr>
          </w:p>
        </w:tc>
        <w:tc>
          <w:tcPr>
            <w:tcW w:w="1377" w:type="dxa"/>
            <w:noWrap w:val="0"/>
            <w:vAlign w:val="center"/>
          </w:tcPr>
          <w:p w14:paraId="30334690">
            <w:pPr>
              <w:jc w:val="center"/>
              <w:rPr>
                <w:rFonts w:hint="eastAsia"/>
                <w:color w:val="auto"/>
                <w:sz w:val="18"/>
                <w:szCs w:val="18"/>
                <w:highlight w:val="none"/>
              </w:rPr>
            </w:pPr>
          </w:p>
        </w:tc>
        <w:tc>
          <w:tcPr>
            <w:tcW w:w="1434" w:type="dxa"/>
            <w:noWrap w:val="0"/>
            <w:vAlign w:val="center"/>
          </w:tcPr>
          <w:p w14:paraId="7671EC71">
            <w:pPr>
              <w:jc w:val="center"/>
              <w:rPr>
                <w:rFonts w:hint="eastAsia"/>
                <w:color w:val="auto"/>
                <w:sz w:val="18"/>
                <w:szCs w:val="18"/>
                <w:highlight w:val="none"/>
              </w:rPr>
            </w:pPr>
          </w:p>
        </w:tc>
        <w:tc>
          <w:tcPr>
            <w:tcW w:w="1303" w:type="dxa"/>
            <w:noWrap w:val="0"/>
            <w:vAlign w:val="center"/>
          </w:tcPr>
          <w:p w14:paraId="0103FBBF">
            <w:pPr>
              <w:jc w:val="center"/>
              <w:rPr>
                <w:rStyle w:val="100"/>
                <w:rFonts w:hint="default"/>
                <w:color w:val="auto"/>
                <w:kern w:val="0"/>
                <w:sz w:val="16"/>
                <w:szCs w:val="16"/>
                <w:highlight w:val="none"/>
                <w:lang w:bidi="ar"/>
              </w:rPr>
            </w:pPr>
          </w:p>
        </w:tc>
      </w:tr>
      <w:tr w14:paraId="3CA9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8" w:type="dxa"/>
            <w:noWrap w:val="0"/>
            <w:vAlign w:val="center"/>
          </w:tcPr>
          <w:p w14:paraId="69DDAC41">
            <w:pPr>
              <w:jc w:val="center"/>
              <w:rPr>
                <w:rFonts w:hint="eastAsia" w:ascii="Times New Roman" w:hAnsi="Times New Roman"/>
                <w:color w:val="auto"/>
                <w:kern w:val="0"/>
                <w:sz w:val="16"/>
                <w:szCs w:val="16"/>
                <w:highlight w:val="none"/>
                <w:lang w:val="en-US" w:eastAsia="zh-CN" w:bidi="ar"/>
              </w:rPr>
            </w:pPr>
            <w:r>
              <w:rPr>
                <w:rFonts w:hint="eastAsia"/>
                <w:color w:val="auto"/>
                <w:sz w:val="18"/>
                <w:szCs w:val="18"/>
                <w:highlight w:val="none"/>
              </w:rPr>
              <w:t>2</w:t>
            </w:r>
          </w:p>
        </w:tc>
        <w:tc>
          <w:tcPr>
            <w:tcW w:w="1522" w:type="dxa"/>
            <w:noWrap w:val="0"/>
            <w:vAlign w:val="center"/>
          </w:tcPr>
          <w:p w14:paraId="22395CBA">
            <w:pPr>
              <w:jc w:val="center"/>
              <w:rPr>
                <w:rFonts w:hint="eastAsia"/>
                <w:color w:val="auto"/>
                <w:sz w:val="18"/>
                <w:szCs w:val="18"/>
                <w:highlight w:val="none"/>
              </w:rPr>
            </w:pPr>
          </w:p>
        </w:tc>
        <w:tc>
          <w:tcPr>
            <w:tcW w:w="5216" w:type="dxa"/>
            <w:noWrap w:val="0"/>
            <w:vAlign w:val="center"/>
          </w:tcPr>
          <w:p w14:paraId="5B3A4D12">
            <w:pPr>
              <w:jc w:val="left"/>
              <w:rPr>
                <w:rFonts w:hint="eastAsia"/>
                <w:color w:val="auto"/>
                <w:sz w:val="18"/>
                <w:szCs w:val="18"/>
                <w:highlight w:val="none"/>
              </w:rPr>
            </w:pPr>
          </w:p>
        </w:tc>
        <w:tc>
          <w:tcPr>
            <w:tcW w:w="689" w:type="dxa"/>
            <w:noWrap w:val="0"/>
            <w:vAlign w:val="center"/>
          </w:tcPr>
          <w:p w14:paraId="7C4DE843">
            <w:pPr>
              <w:jc w:val="center"/>
              <w:rPr>
                <w:rFonts w:hint="eastAsia"/>
                <w:color w:val="auto"/>
                <w:sz w:val="18"/>
                <w:szCs w:val="18"/>
                <w:highlight w:val="none"/>
              </w:rPr>
            </w:pPr>
          </w:p>
        </w:tc>
        <w:tc>
          <w:tcPr>
            <w:tcW w:w="689" w:type="dxa"/>
            <w:noWrap w:val="0"/>
            <w:vAlign w:val="center"/>
          </w:tcPr>
          <w:p w14:paraId="22F60998">
            <w:pPr>
              <w:jc w:val="center"/>
              <w:rPr>
                <w:rFonts w:hint="eastAsia"/>
                <w:color w:val="auto"/>
                <w:sz w:val="18"/>
                <w:szCs w:val="18"/>
                <w:highlight w:val="none"/>
              </w:rPr>
            </w:pPr>
          </w:p>
        </w:tc>
        <w:tc>
          <w:tcPr>
            <w:tcW w:w="1377" w:type="dxa"/>
            <w:noWrap w:val="0"/>
            <w:vAlign w:val="center"/>
          </w:tcPr>
          <w:p w14:paraId="55A3DD85">
            <w:pPr>
              <w:jc w:val="center"/>
              <w:rPr>
                <w:rFonts w:hint="eastAsia"/>
                <w:color w:val="auto"/>
                <w:sz w:val="18"/>
                <w:szCs w:val="18"/>
                <w:highlight w:val="none"/>
              </w:rPr>
            </w:pPr>
          </w:p>
        </w:tc>
        <w:tc>
          <w:tcPr>
            <w:tcW w:w="1434" w:type="dxa"/>
            <w:noWrap w:val="0"/>
            <w:vAlign w:val="center"/>
          </w:tcPr>
          <w:p w14:paraId="321B69E7">
            <w:pPr>
              <w:jc w:val="center"/>
              <w:rPr>
                <w:rFonts w:hint="eastAsia"/>
                <w:color w:val="auto"/>
                <w:sz w:val="18"/>
                <w:szCs w:val="18"/>
                <w:highlight w:val="none"/>
              </w:rPr>
            </w:pPr>
          </w:p>
        </w:tc>
        <w:tc>
          <w:tcPr>
            <w:tcW w:w="1303" w:type="dxa"/>
            <w:noWrap w:val="0"/>
            <w:vAlign w:val="center"/>
          </w:tcPr>
          <w:p w14:paraId="1485404D">
            <w:pPr>
              <w:jc w:val="center"/>
              <w:rPr>
                <w:rStyle w:val="100"/>
                <w:rFonts w:hint="default"/>
                <w:color w:val="auto"/>
                <w:kern w:val="0"/>
                <w:sz w:val="16"/>
                <w:szCs w:val="16"/>
                <w:highlight w:val="none"/>
                <w:lang w:bidi="ar"/>
              </w:rPr>
            </w:pPr>
          </w:p>
        </w:tc>
      </w:tr>
      <w:tr w14:paraId="2253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8" w:type="dxa"/>
            <w:noWrap w:val="0"/>
            <w:vAlign w:val="center"/>
          </w:tcPr>
          <w:p w14:paraId="1E1B3505">
            <w:pPr>
              <w:jc w:val="center"/>
              <w:rPr>
                <w:rFonts w:hint="default" w:eastAsia="宋体"/>
                <w:color w:val="auto"/>
                <w:sz w:val="18"/>
                <w:szCs w:val="18"/>
                <w:highlight w:val="none"/>
                <w:lang w:val="en-US" w:eastAsia="zh-CN"/>
              </w:rPr>
            </w:pPr>
            <w:r>
              <w:rPr>
                <w:rFonts w:hint="eastAsia"/>
                <w:color w:val="auto"/>
                <w:sz w:val="18"/>
                <w:szCs w:val="18"/>
                <w:highlight w:val="none"/>
                <w:lang w:val="en-US" w:eastAsia="zh-CN"/>
              </w:rPr>
              <w:t>...</w:t>
            </w:r>
          </w:p>
        </w:tc>
        <w:tc>
          <w:tcPr>
            <w:tcW w:w="1522" w:type="dxa"/>
            <w:noWrap w:val="0"/>
            <w:vAlign w:val="center"/>
          </w:tcPr>
          <w:p w14:paraId="2496FDE2">
            <w:pPr>
              <w:jc w:val="center"/>
              <w:rPr>
                <w:rFonts w:hint="eastAsia"/>
                <w:color w:val="auto"/>
                <w:sz w:val="18"/>
                <w:szCs w:val="18"/>
                <w:highlight w:val="none"/>
              </w:rPr>
            </w:pPr>
          </w:p>
        </w:tc>
        <w:tc>
          <w:tcPr>
            <w:tcW w:w="5216" w:type="dxa"/>
            <w:noWrap w:val="0"/>
            <w:vAlign w:val="center"/>
          </w:tcPr>
          <w:p w14:paraId="24EE3082">
            <w:pPr>
              <w:jc w:val="left"/>
              <w:rPr>
                <w:rFonts w:hint="eastAsia"/>
                <w:color w:val="auto"/>
                <w:sz w:val="18"/>
                <w:szCs w:val="18"/>
                <w:highlight w:val="none"/>
              </w:rPr>
            </w:pPr>
          </w:p>
        </w:tc>
        <w:tc>
          <w:tcPr>
            <w:tcW w:w="689" w:type="dxa"/>
            <w:noWrap w:val="0"/>
            <w:vAlign w:val="center"/>
          </w:tcPr>
          <w:p w14:paraId="0142D6F5">
            <w:pPr>
              <w:jc w:val="center"/>
              <w:rPr>
                <w:rFonts w:hint="eastAsia"/>
                <w:color w:val="auto"/>
                <w:sz w:val="18"/>
                <w:szCs w:val="18"/>
                <w:highlight w:val="none"/>
              </w:rPr>
            </w:pPr>
          </w:p>
        </w:tc>
        <w:tc>
          <w:tcPr>
            <w:tcW w:w="689" w:type="dxa"/>
            <w:noWrap w:val="0"/>
            <w:vAlign w:val="center"/>
          </w:tcPr>
          <w:p w14:paraId="7D665396">
            <w:pPr>
              <w:jc w:val="center"/>
              <w:rPr>
                <w:rFonts w:hint="eastAsia"/>
                <w:color w:val="auto"/>
                <w:sz w:val="18"/>
                <w:szCs w:val="18"/>
                <w:highlight w:val="none"/>
              </w:rPr>
            </w:pPr>
          </w:p>
        </w:tc>
        <w:tc>
          <w:tcPr>
            <w:tcW w:w="1377" w:type="dxa"/>
            <w:noWrap w:val="0"/>
            <w:vAlign w:val="center"/>
          </w:tcPr>
          <w:p w14:paraId="27EC46B5">
            <w:pPr>
              <w:jc w:val="center"/>
              <w:rPr>
                <w:rFonts w:hint="eastAsia"/>
                <w:color w:val="auto"/>
                <w:sz w:val="18"/>
                <w:szCs w:val="18"/>
                <w:highlight w:val="none"/>
              </w:rPr>
            </w:pPr>
          </w:p>
        </w:tc>
        <w:tc>
          <w:tcPr>
            <w:tcW w:w="1434" w:type="dxa"/>
            <w:noWrap w:val="0"/>
            <w:vAlign w:val="center"/>
          </w:tcPr>
          <w:p w14:paraId="5A1A0D2B">
            <w:pPr>
              <w:jc w:val="center"/>
              <w:rPr>
                <w:rFonts w:hint="eastAsia"/>
                <w:color w:val="auto"/>
                <w:sz w:val="18"/>
                <w:szCs w:val="18"/>
                <w:highlight w:val="none"/>
              </w:rPr>
            </w:pPr>
          </w:p>
        </w:tc>
        <w:tc>
          <w:tcPr>
            <w:tcW w:w="1303" w:type="dxa"/>
            <w:noWrap w:val="0"/>
            <w:vAlign w:val="center"/>
          </w:tcPr>
          <w:p w14:paraId="2AC51606">
            <w:pPr>
              <w:jc w:val="center"/>
              <w:rPr>
                <w:rStyle w:val="100"/>
                <w:rFonts w:hint="default"/>
                <w:color w:val="auto"/>
                <w:kern w:val="0"/>
                <w:sz w:val="16"/>
                <w:szCs w:val="16"/>
                <w:highlight w:val="none"/>
                <w:lang w:bidi="ar"/>
              </w:rPr>
            </w:pPr>
          </w:p>
        </w:tc>
      </w:tr>
      <w:tr w14:paraId="4EDA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191" w:type="dxa"/>
            <w:gridSpan w:val="6"/>
            <w:noWrap w:val="0"/>
            <w:vAlign w:val="center"/>
          </w:tcPr>
          <w:p w14:paraId="4FB0D18E">
            <w:pPr>
              <w:jc w:val="center"/>
              <w:rPr>
                <w:rFonts w:hint="default" w:eastAsia="宋体"/>
                <w:color w:val="auto"/>
                <w:sz w:val="18"/>
                <w:szCs w:val="18"/>
                <w:highlight w:val="none"/>
                <w:lang w:val="en-US" w:eastAsia="zh-CN"/>
              </w:rPr>
            </w:pPr>
            <w:r>
              <w:rPr>
                <w:rFonts w:hint="eastAsia"/>
                <w:color w:val="auto"/>
                <w:sz w:val="18"/>
                <w:szCs w:val="18"/>
                <w:highlight w:val="none"/>
                <w:lang w:val="en-US" w:eastAsia="zh-CN"/>
              </w:rPr>
              <w:t>以上合计不含税总金额</w:t>
            </w:r>
          </w:p>
        </w:tc>
        <w:tc>
          <w:tcPr>
            <w:tcW w:w="1434" w:type="dxa"/>
            <w:noWrap w:val="0"/>
            <w:vAlign w:val="center"/>
          </w:tcPr>
          <w:p w14:paraId="10D5E4EE">
            <w:pPr>
              <w:jc w:val="center"/>
              <w:rPr>
                <w:rFonts w:hint="eastAsia"/>
                <w:color w:val="auto"/>
                <w:sz w:val="18"/>
                <w:szCs w:val="18"/>
                <w:highlight w:val="none"/>
              </w:rPr>
            </w:pPr>
          </w:p>
        </w:tc>
        <w:tc>
          <w:tcPr>
            <w:tcW w:w="1303" w:type="dxa"/>
            <w:noWrap w:val="0"/>
            <w:vAlign w:val="center"/>
          </w:tcPr>
          <w:p w14:paraId="0DFE2F23">
            <w:pPr>
              <w:jc w:val="center"/>
              <w:rPr>
                <w:color w:val="auto"/>
                <w:sz w:val="18"/>
                <w:szCs w:val="18"/>
                <w:highlight w:val="none"/>
              </w:rPr>
            </w:pPr>
          </w:p>
        </w:tc>
      </w:tr>
      <w:tr w14:paraId="7588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191" w:type="dxa"/>
            <w:gridSpan w:val="6"/>
            <w:noWrap w:val="0"/>
            <w:vAlign w:val="center"/>
          </w:tcPr>
          <w:p w14:paraId="027F5973">
            <w:pPr>
              <w:jc w:val="center"/>
              <w:rPr>
                <w:rFonts w:hint="default"/>
                <w:color w:val="auto"/>
                <w:sz w:val="18"/>
                <w:szCs w:val="18"/>
                <w:highlight w:val="none"/>
                <w:lang w:val="en-US" w:eastAsia="zh-CN"/>
              </w:rPr>
            </w:pPr>
            <w:r>
              <w:rPr>
                <w:rFonts w:hint="eastAsia"/>
                <w:color w:val="auto"/>
                <w:sz w:val="18"/>
                <w:szCs w:val="18"/>
                <w:highlight w:val="none"/>
                <w:lang w:val="en-US" w:eastAsia="zh-CN"/>
              </w:rPr>
              <w:t>增值税税率（%）</w:t>
            </w:r>
          </w:p>
        </w:tc>
        <w:tc>
          <w:tcPr>
            <w:tcW w:w="1434" w:type="dxa"/>
            <w:noWrap w:val="0"/>
            <w:vAlign w:val="center"/>
          </w:tcPr>
          <w:p w14:paraId="02A48898">
            <w:pPr>
              <w:jc w:val="center"/>
              <w:rPr>
                <w:rFonts w:hint="eastAsia"/>
                <w:color w:val="auto"/>
                <w:sz w:val="18"/>
                <w:szCs w:val="18"/>
                <w:highlight w:val="none"/>
              </w:rPr>
            </w:pPr>
          </w:p>
        </w:tc>
        <w:tc>
          <w:tcPr>
            <w:tcW w:w="1303" w:type="dxa"/>
            <w:noWrap w:val="0"/>
            <w:vAlign w:val="center"/>
          </w:tcPr>
          <w:p w14:paraId="4A2199A5">
            <w:pPr>
              <w:jc w:val="center"/>
              <w:rPr>
                <w:color w:val="auto"/>
                <w:sz w:val="18"/>
                <w:szCs w:val="18"/>
                <w:highlight w:val="none"/>
              </w:rPr>
            </w:pPr>
          </w:p>
        </w:tc>
      </w:tr>
    </w:tbl>
    <w:p w14:paraId="0188EA9C">
      <w:pPr>
        <w:spacing w:line="440" w:lineRule="exact"/>
        <w:ind w:firstLine="2520" w:firstLineChars="1200"/>
        <w:jc w:val="left"/>
        <w:rPr>
          <w:rFonts w:ascii="Times New Roman" w:hAnsi="Times New Roman"/>
          <w:szCs w:val="21"/>
        </w:rPr>
      </w:pPr>
    </w:p>
    <w:p w14:paraId="7F9D2CAD">
      <w:pPr>
        <w:spacing w:line="440" w:lineRule="exact"/>
        <w:ind w:firstLine="6090" w:firstLineChars="2900"/>
        <w:jc w:val="left"/>
        <w:rPr>
          <w:rFonts w:ascii="Times New Roman" w:hAnsi="Times New Roman"/>
          <w:szCs w:val="21"/>
        </w:rPr>
      </w:pPr>
      <w:r>
        <w:rPr>
          <w:rFonts w:hint="eastAsia" w:ascii="Times New Roman" w:hAnsi="Times New Roman"/>
          <w:szCs w:val="21"/>
        </w:rPr>
        <w:t>供应商</w:t>
      </w:r>
      <w:r>
        <w:rPr>
          <w:rFonts w:ascii="Times New Roman" w:hAnsi="Times New Roman"/>
          <w:szCs w:val="21"/>
        </w:rPr>
        <w:t>：</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rPr>
        <w:t>（</w:t>
      </w:r>
      <w:r>
        <w:rPr>
          <w:rFonts w:hint="eastAsia" w:ascii="Times New Roman" w:hAnsi="Times New Roman"/>
          <w:szCs w:val="21"/>
        </w:rPr>
        <w:t>公章</w:t>
      </w:r>
      <w:r>
        <w:rPr>
          <w:rFonts w:ascii="Times New Roman" w:hAnsi="Times New Roman"/>
          <w:szCs w:val="21"/>
        </w:rPr>
        <w:t>）</w:t>
      </w:r>
    </w:p>
    <w:p w14:paraId="5976600D">
      <w:pPr>
        <w:spacing w:line="440" w:lineRule="exact"/>
        <w:jc w:val="left"/>
        <w:rPr>
          <w:rFonts w:ascii="Times New Roman" w:hAnsi="Times New Roman"/>
          <w:szCs w:val="21"/>
        </w:rPr>
      </w:pPr>
      <w:r>
        <w:rPr>
          <w:rFonts w:ascii="Times New Roman" w:hAnsi="Times New Roman"/>
        </w:rPr>
        <w:t xml:space="preserve">                     </w:t>
      </w:r>
      <w:r>
        <w:rPr>
          <w:rFonts w:hint="eastAsia" w:ascii="Times New Roman" w:hAnsi="Times New Roman"/>
          <w:lang w:val="en-US" w:eastAsia="zh-CN"/>
        </w:rPr>
        <w:t xml:space="preserve">                                  </w:t>
      </w:r>
      <w:r>
        <w:rPr>
          <w:rFonts w:ascii="Times New Roman" w:hAnsi="Times New Roman"/>
        </w:rPr>
        <w:t xml:space="preserve">   法定代表人</w:t>
      </w:r>
      <w:r>
        <w:rPr>
          <w:rFonts w:ascii="Times New Roman" w:hAnsi="Times New Roman"/>
          <w:szCs w:val="21"/>
        </w:rPr>
        <w:t>或其委托代理人：</w:t>
      </w:r>
      <w:r>
        <w:rPr>
          <w:rFonts w:ascii="Times New Roman" w:hAnsi="Times New Roman"/>
          <w:szCs w:val="21"/>
          <w:u w:val="single"/>
        </w:rPr>
        <w:t xml:space="preserve">    </w:t>
      </w:r>
      <w:r>
        <w:rPr>
          <w:rFonts w:hint="eastAsia" w:ascii="Times New Roman" w:hAnsi="Times New Roman"/>
          <w:szCs w:val="21"/>
          <w:u w:val="single"/>
          <w:lang w:val="en-US" w:eastAsia="zh-CN"/>
        </w:rPr>
        <w:t xml:space="preserve">     </w:t>
      </w:r>
      <w:r>
        <w:rPr>
          <w:rFonts w:ascii="Times New Roman" w:hAnsi="Times New Roman"/>
          <w:szCs w:val="21"/>
          <w:u w:val="single"/>
        </w:rPr>
        <w:t xml:space="preserve">   </w:t>
      </w:r>
      <w:r>
        <w:rPr>
          <w:rFonts w:ascii="Times New Roman" w:hAnsi="Times New Roman"/>
          <w:szCs w:val="21"/>
          <w:u w:val="single"/>
        </w:rPr>
        <w:tab/>
      </w:r>
      <w:r>
        <w:rPr>
          <w:rFonts w:ascii="Times New Roman" w:hAnsi="Times New Roman"/>
          <w:szCs w:val="21"/>
        </w:rPr>
        <w:t>（签字）</w:t>
      </w:r>
    </w:p>
    <w:p w14:paraId="06AFC1B9">
      <w:pPr>
        <w:spacing w:line="440" w:lineRule="exact"/>
        <w:ind w:firstLine="4725" w:firstLineChars="2250"/>
        <w:jc w:val="center"/>
        <w:rPr>
          <w:rFonts w:ascii="Times New Roman" w:hAnsi="Times New Roman"/>
          <w:szCs w:val="21"/>
        </w:rPr>
      </w:pPr>
      <w:r>
        <w:rPr>
          <w:rFonts w:ascii="Times New Roman" w:hAnsi="Times New Roman"/>
          <w:u w:val="single"/>
        </w:rPr>
        <w:t xml:space="preserve">      </w:t>
      </w:r>
      <w:r>
        <w:rPr>
          <w:rFonts w:ascii="Times New Roman" w:hAnsi="Times New Roman"/>
          <w:szCs w:val="21"/>
        </w:rPr>
        <w:t>年</w:t>
      </w:r>
      <w:r>
        <w:rPr>
          <w:rFonts w:ascii="Times New Roman" w:hAnsi="Times New Roman"/>
          <w:u w:val="single"/>
        </w:rPr>
        <w:t xml:space="preserve">      </w:t>
      </w:r>
      <w:r>
        <w:rPr>
          <w:rFonts w:ascii="Times New Roman" w:hAnsi="Times New Roman"/>
          <w:szCs w:val="21"/>
        </w:rPr>
        <w:t>月</w:t>
      </w:r>
      <w:r>
        <w:rPr>
          <w:rFonts w:ascii="Times New Roman" w:hAnsi="Times New Roman"/>
          <w:u w:val="single"/>
        </w:rPr>
        <w:t xml:space="preserve">      </w:t>
      </w:r>
      <w:r>
        <w:rPr>
          <w:rFonts w:ascii="Times New Roman" w:hAnsi="Times New Roman"/>
          <w:szCs w:val="21"/>
        </w:rPr>
        <w:t>日</w:t>
      </w:r>
    </w:p>
    <w:p w14:paraId="131CA9B2">
      <w:pPr>
        <w:spacing w:line="440" w:lineRule="exact"/>
        <w:rPr>
          <w:rFonts w:ascii="Times New Roman" w:hAnsi="Times New Roman"/>
          <w:szCs w:val="21"/>
        </w:rPr>
      </w:pPr>
    </w:p>
    <w:p w14:paraId="7468E050">
      <w:pPr>
        <w:spacing w:line="440" w:lineRule="exact"/>
        <w:rPr>
          <w:rFonts w:ascii="Times New Roman" w:hAnsi="Times New Roman"/>
          <w:szCs w:val="21"/>
        </w:rPr>
        <w:sectPr>
          <w:pgSz w:w="15840" w:h="12240" w:orient="landscape"/>
          <w:pgMar w:top="1800" w:right="1440" w:bottom="1800" w:left="1440" w:header="720" w:footer="720" w:gutter="0"/>
          <w:pgNumType w:fmt="decimal"/>
          <w:cols w:space="720" w:num="1"/>
          <w:docGrid w:linePitch="285" w:charSpace="0"/>
        </w:sectPr>
      </w:pPr>
    </w:p>
    <w:p w14:paraId="6AB3E7CF">
      <w:pPr>
        <w:numPr>
          <w:ilvl w:val="0"/>
          <w:numId w:val="0"/>
        </w:numPr>
        <w:ind w:firstLine="840" w:firstLineChars="400"/>
        <w:rPr>
          <w:rFonts w:hint="eastAsia" w:ascii="宋体" w:hAnsi="宋体" w:eastAsia="宋体" w:cs="宋体"/>
          <w:lang w:val="en-US" w:eastAsia="zh-CN"/>
        </w:rPr>
      </w:pPr>
      <w:r>
        <w:rPr>
          <w:rFonts w:hint="eastAsia" w:ascii="宋体" w:hAnsi="宋体" w:eastAsia="宋体" w:cs="宋体"/>
          <w:lang w:val="en-US" w:eastAsia="zh-CN"/>
        </w:rPr>
        <w:t>（三）最终报价表</w:t>
      </w:r>
    </w:p>
    <w:p w14:paraId="1423B1B1">
      <w:pPr>
        <w:pStyle w:val="2"/>
        <w:jc w:val="center"/>
        <w:outlineLvl w:val="2"/>
        <w:rPr>
          <w:rFonts w:hint="eastAsia" w:ascii="宋体" w:hAnsi="宋体" w:cs="宋体"/>
          <w:snapToGrid w:val="0"/>
          <w:color w:val="auto"/>
          <w:kern w:val="0"/>
          <w:sz w:val="32"/>
          <w:szCs w:val="32"/>
          <w:highlight w:val="none"/>
          <w:lang w:val="en-US" w:eastAsia="zh-CN" w:bidi="ar-SA"/>
        </w:rPr>
      </w:pPr>
      <w:bookmarkStart w:id="771" w:name="_Toc32036"/>
      <w:bookmarkStart w:id="772" w:name="_Toc6246"/>
    </w:p>
    <w:p w14:paraId="48E76B94">
      <w:pPr>
        <w:pStyle w:val="2"/>
        <w:jc w:val="center"/>
        <w:outlineLvl w:val="2"/>
        <w:rPr>
          <w:rFonts w:hint="eastAsia" w:ascii="宋体" w:hAnsi="宋体" w:eastAsia="宋体" w:cs="宋体"/>
          <w:snapToGrid w:val="0"/>
          <w:color w:val="auto"/>
          <w:kern w:val="0"/>
          <w:sz w:val="32"/>
          <w:szCs w:val="32"/>
          <w:highlight w:val="none"/>
          <w:lang w:val="en-US" w:eastAsia="zh-CN" w:bidi="ar-SA"/>
        </w:rPr>
      </w:pPr>
      <w:r>
        <w:rPr>
          <w:rFonts w:hint="eastAsia" w:ascii="宋体" w:hAnsi="宋体" w:cs="宋体"/>
          <w:snapToGrid w:val="0"/>
          <w:color w:val="auto"/>
          <w:kern w:val="0"/>
          <w:sz w:val="32"/>
          <w:szCs w:val="32"/>
          <w:highlight w:val="none"/>
          <w:lang w:val="en-US" w:eastAsia="zh-CN" w:bidi="ar-SA"/>
        </w:rPr>
        <w:t>最终</w:t>
      </w:r>
      <w:r>
        <w:rPr>
          <w:rFonts w:hint="eastAsia" w:ascii="宋体" w:hAnsi="宋体" w:eastAsia="宋体" w:cs="宋体"/>
          <w:snapToGrid w:val="0"/>
          <w:color w:val="auto"/>
          <w:kern w:val="0"/>
          <w:sz w:val="32"/>
          <w:szCs w:val="32"/>
          <w:highlight w:val="none"/>
          <w:lang w:val="en-US" w:eastAsia="zh-CN" w:bidi="ar-SA"/>
        </w:rPr>
        <w:t>报价表</w:t>
      </w:r>
      <w:bookmarkEnd w:id="771"/>
      <w:bookmarkEnd w:id="772"/>
    </w:p>
    <w:p w14:paraId="4C3C7091">
      <w:pPr>
        <w:pStyle w:val="2"/>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 xml:space="preserve">                                                                      </w:t>
      </w:r>
      <w:r>
        <w:rPr>
          <w:rFonts w:hint="eastAsia" w:ascii="宋体" w:hAnsi="宋体" w:eastAsia="宋体" w:cs="宋体"/>
          <w:bCs/>
          <w:color w:val="auto"/>
          <w:szCs w:val="21"/>
          <w:highlight w:val="none"/>
        </w:rPr>
        <w:t>单位：元</w:t>
      </w:r>
    </w:p>
    <w:tbl>
      <w:tblPr>
        <w:tblStyle w:val="40"/>
        <w:tblW w:w="0" w:type="auto"/>
        <w:jc w:val="center"/>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7114"/>
      </w:tblGrid>
      <w:tr w14:paraId="3F66A55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402" w:type="dxa"/>
            <w:tcBorders>
              <w:top w:val="thinThickSmallGap" w:color="auto" w:sz="12" w:space="0"/>
              <w:left w:val="thinThickSmallGap" w:color="auto" w:sz="12" w:space="0"/>
              <w:bottom w:val="single" w:color="auto" w:sz="4" w:space="0"/>
              <w:right w:val="single" w:color="auto" w:sz="4" w:space="0"/>
            </w:tcBorders>
            <w:noWrap w:val="0"/>
            <w:vAlign w:val="center"/>
          </w:tcPr>
          <w:p w14:paraId="04C01959">
            <w:pPr>
              <w:tabs>
                <w:tab w:val="left" w:pos="795"/>
              </w:tabs>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7114" w:type="dxa"/>
            <w:tcBorders>
              <w:top w:val="thinThickSmallGap" w:color="auto" w:sz="12" w:space="0"/>
              <w:left w:val="single" w:color="auto" w:sz="4" w:space="0"/>
              <w:bottom w:val="single" w:color="auto" w:sz="4" w:space="0"/>
              <w:right w:val="thinThickSmallGap" w:color="auto" w:sz="12" w:space="0"/>
            </w:tcBorders>
            <w:noWrap w:val="0"/>
            <w:vAlign w:val="center"/>
          </w:tcPr>
          <w:p w14:paraId="3992C281">
            <w:pPr>
              <w:tabs>
                <w:tab w:val="left" w:pos="795"/>
              </w:tabs>
              <w:jc w:val="left"/>
              <w:rPr>
                <w:rFonts w:hint="eastAsia" w:ascii="宋体" w:hAnsi="宋体" w:eastAsia="宋体" w:cs="宋体"/>
                <w:color w:val="auto"/>
                <w:sz w:val="21"/>
                <w:szCs w:val="21"/>
                <w:highlight w:val="none"/>
              </w:rPr>
            </w:pPr>
          </w:p>
        </w:tc>
      </w:tr>
      <w:tr w14:paraId="366EF32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tcBorders>
              <w:top w:val="single" w:color="auto" w:sz="4" w:space="0"/>
              <w:left w:val="thinThickSmallGap" w:color="auto" w:sz="12" w:space="0"/>
              <w:bottom w:val="single" w:color="auto" w:sz="4" w:space="0"/>
              <w:right w:val="single" w:color="auto" w:sz="4" w:space="0"/>
            </w:tcBorders>
            <w:noWrap w:val="0"/>
            <w:vAlign w:val="center"/>
          </w:tcPr>
          <w:p w14:paraId="7AAC49A6">
            <w:pPr>
              <w:spacing w:before="156" w:after="15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p>
        </w:tc>
        <w:tc>
          <w:tcPr>
            <w:tcW w:w="7114" w:type="dxa"/>
            <w:tcBorders>
              <w:top w:val="single" w:color="auto" w:sz="4" w:space="0"/>
              <w:left w:val="single" w:color="auto" w:sz="4" w:space="0"/>
              <w:bottom w:val="single" w:color="auto" w:sz="4" w:space="0"/>
              <w:right w:val="thinThickSmallGap" w:color="auto" w:sz="12" w:space="0"/>
            </w:tcBorders>
            <w:noWrap w:val="0"/>
            <w:vAlign w:val="center"/>
          </w:tcPr>
          <w:p w14:paraId="520E44F9">
            <w:pPr>
              <w:rPr>
                <w:rFonts w:hint="eastAsia" w:ascii="宋体" w:hAnsi="宋体" w:eastAsia="宋体" w:cs="宋体"/>
                <w:color w:val="auto"/>
                <w:sz w:val="21"/>
                <w:szCs w:val="21"/>
                <w:highlight w:val="none"/>
                <w:u w:val="single"/>
              </w:rPr>
            </w:pPr>
          </w:p>
        </w:tc>
      </w:tr>
      <w:tr w14:paraId="222EA51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1402" w:type="dxa"/>
            <w:tcBorders>
              <w:left w:val="thinThickSmallGap" w:color="auto" w:sz="12" w:space="0"/>
              <w:right w:val="single" w:color="auto" w:sz="4" w:space="0"/>
            </w:tcBorders>
            <w:noWrap w:val="0"/>
            <w:vAlign w:val="center"/>
          </w:tcPr>
          <w:p w14:paraId="0D2EA0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谈判报价</w:t>
            </w:r>
          </w:p>
          <w:p w14:paraId="0D2ABF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不</w:t>
            </w:r>
            <w:r>
              <w:rPr>
                <w:rFonts w:hint="eastAsia" w:ascii="宋体" w:hAnsi="宋体" w:eastAsia="宋体" w:cs="宋体"/>
                <w:color w:val="auto"/>
                <w:sz w:val="21"/>
                <w:szCs w:val="21"/>
                <w:highlight w:val="none"/>
              </w:rPr>
              <w:t>含税）</w:t>
            </w:r>
          </w:p>
        </w:tc>
        <w:tc>
          <w:tcPr>
            <w:tcW w:w="7114" w:type="dxa"/>
            <w:tcBorders>
              <w:top w:val="single" w:color="auto" w:sz="4" w:space="0"/>
              <w:left w:val="single" w:color="auto" w:sz="4" w:space="0"/>
              <w:bottom w:val="single" w:color="auto" w:sz="4" w:space="0"/>
              <w:right w:val="thinThickSmallGap" w:color="auto" w:sz="12" w:space="0"/>
            </w:tcBorders>
            <w:noWrap w:val="0"/>
            <w:vAlign w:val="center"/>
          </w:tcPr>
          <w:p w14:paraId="652FC964">
            <w:pPr>
              <w:pStyle w:val="48"/>
              <w:spacing w:line="240" w:lineRule="auto"/>
              <w:ind w:firstLine="0" w:firstLineChars="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大写：</w:t>
            </w:r>
          </w:p>
          <w:p w14:paraId="3569C7E2">
            <w:pPr>
              <w:pStyle w:val="48"/>
              <w:spacing w:line="240" w:lineRule="auto"/>
              <w:ind w:firstLine="0" w:firstLineChars="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小写：</w:t>
            </w:r>
          </w:p>
        </w:tc>
      </w:tr>
      <w:tr w14:paraId="7069FDC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402" w:type="dxa"/>
            <w:tcBorders>
              <w:left w:val="thinThickSmallGap" w:color="auto" w:sz="12" w:space="0"/>
              <w:right w:val="single" w:color="auto" w:sz="4" w:space="0"/>
            </w:tcBorders>
            <w:noWrap w:val="0"/>
            <w:vAlign w:val="center"/>
          </w:tcPr>
          <w:p w14:paraId="044DBD8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税率</w:t>
            </w:r>
          </w:p>
        </w:tc>
        <w:tc>
          <w:tcPr>
            <w:tcW w:w="7114" w:type="dxa"/>
            <w:tcBorders>
              <w:top w:val="single" w:color="auto" w:sz="4" w:space="0"/>
              <w:left w:val="single" w:color="auto" w:sz="4" w:space="0"/>
              <w:bottom w:val="single" w:color="auto" w:sz="4" w:space="0"/>
              <w:right w:val="thinThickSmallGap" w:color="auto" w:sz="12" w:space="0"/>
            </w:tcBorders>
            <w:noWrap w:val="0"/>
            <w:vAlign w:val="center"/>
          </w:tcPr>
          <w:p w14:paraId="68800FF0">
            <w:pPr>
              <w:pStyle w:val="48"/>
              <w:spacing w:line="240" w:lineRule="auto"/>
              <w:ind w:firstLine="0" w:firstLineChars="0"/>
              <w:rPr>
                <w:rFonts w:hint="eastAsia" w:ascii="宋体" w:hAnsi="宋体" w:eastAsia="宋体" w:cs="宋体"/>
                <w:color w:val="auto"/>
                <w:kern w:val="2"/>
                <w:sz w:val="21"/>
                <w:szCs w:val="21"/>
                <w:highlight w:val="none"/>
              </w:rPr>
            </w:pPr>
          </w:p>
        </w:tc>
      </w:tr>
      <w:tr w14:paraId="686AE91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402" w:type="dxa"/>
            <w:tcBorders>
              <w:left w:val="thinThickSmallGap" w:color="auto" w:sz="12" w:space="0"/>
              <w:right w:val="single" w:color="auto" w:sz="4" w:space="0"/>
            </w:tcBorders>
            <w:noWrap w:val="0"/>
            <w:vAlign w:val="center"/>
          </w:tcPr>
          <w:p w14:paraId="508085F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w:t>
            </w:r>
          </w:p>
        </w:tc>
        <w:tc>
          <w:tcPr>
            <w:tcW w:w="7114" w:type="dxa"/>
            <w:tcBorders>
              <w:top w:val="single" w:color="auto" w:sz="4" w:space="0"/>
              <w:left w:val="single" w:color="auto" w:sz="4" w:space="0"/>
              <w:bottom w:val="single" w:color="auto" w:sz="4" w:space="0"/>
              <w:right w:val="thinThickSmallGap" w:color="auto" w:sz="12" w:space="0"/>
            </w:tcBorders>
            <w:noWrap w:val="0"/>
            <w:vAlign w:val="center"/>
          </w:tcPr>
          <w:p w14:paraId="051561F6">
            <w:pPr>
              <w:pStyle w:val="48"/>
              <w:spacing w:line="240" w:lineRule="auto"/>
              <w:ind w:firstLine="0" w:firstLineChars="0"/>
              <w:rPr>
                <w:rFonts w:hint="eastAsia" w:ascii="宋体" w:hAnsi="宋体" w:eastAsia="宋体" w:cs="宋体"/>
                <w:color w:val="auto"/>
                <w:kern w:val="2"/>
                <w:sz w:val="21"/>
                <w:szCs w:val="21"/>
                <w:highlight w:val="none"/>
              </w:rPr>
            </w:pPr>
          </w:p>
        </w:tc>
      </w:tr>
      <w:tr w14:paraId="3030B33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402" w:type="dxa"/>
            <w:tcBorders>
              <w:left w:val="thinThickSmallGap" w:color="auto" w:sz="12" w:space="0"/>
              <w:right w:val="single" w:color="auto" w:sz="4" w:space="0"/>
            </w:tcBorders>
            <w:noWrap w:val="0"/>
            <w:vAlign w:val="center"/>
          </w:tcPr>
          <w:p w14:paraId="6AF41CF3">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交货期</w:t>
            </w:r>
          </w:p>
        </w:tc>
        <w:tc>
          <w:tcPr>
            <w:tcW w:w="7114" w:type="dxa"/>
            <w:tcBorders>
              <w:top w:val="single" w:color="auto" w:sz="4" w:space="0"/>
              <w:left w:val="single" w:color="auto" w:sz="4" w:space="0"/>
              <w:bottom w:val="single" w:color="auto" w:sz="4" w:space="0"/>
              <w:right w:val="thinThickSmallGap" w:color="auto" w:sz="12" w:space="0"/>
            </w:tcBorders>
            <w:noWrap w:val="0"/>
            <w:vAlign w:val="center"/>
          </w:tcPr>
          <w:p w14:paraId="2DAC4F49">
            <w:pPr>
              <w:pStyle w:val="48"/>
              <w:spacing w:line="240" w:lineRule="auto"/>
              <w:ind w:firstLine="0" w:firstLineChars="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达到</w:t>
            </w:r>
            <w:r>
              <w:rPr>
                <w:rFonts w:hint="eastAsia" w:ascii="宋体" w:hAnsi="宋体" w:eastAsia="宋体" w:cs="宋体"/>
                <w:color w:val="auto"/>
                <w:kern w:val="2"/>
                <w:sz w:val="21"/>
                <w:szCs w:val="21"/>
                <w:highlight w:val="none"/>
              </w:rPr>
              <w:t>竞争谈判文件要求。</w:t>
            </w:r>
          </w:p>
        </w:tc>
      </w:tr>
      <w:tr w14:paraId="3B9357A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402" w:type="dxa"/>
            <w:tcBorders>
              <w:left w:val="thinThickSmallGap" w:color="auto" w:sz="12" w:space="0"/>
              <w:right w:val="single" w:color="auto" w:sz="4" w:space="0"/>
            </w:tcBorders>
            <w:noWrap w:val="0"/>
            <w:vAlign w:val="center"/>
          </w:tcPr>
          <w:p w14:paraId="1404913B">
            <w:pPr>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交货地点</w:t>
            </w:r>
          </w:p>
        </w:tc>
        <w:tc>
          <w:tcPr>
            <w:tcW w:w="7114" w:type="dxa"/>
            <w:tcBorders>
              <w:top w:val="single" w:color="auto" w:sz="4" w:space="0"/>
              <w:left w:val="single" w:color="auto" w:sz="4" w:space="0"/>
              <w:bottom w:val="single" w:color="auto" w:sz="4" w:space="0"/>
              <w:right w:val="thinThickSmallGap" w:color="auto" w:sz="12" w:space="0"/>
            </w:tcBorders>
            <w:noWrap w:val="0"/>
            <w:vAlign w:val="center"/>
          </w:tcPr>
          <w:p w14:paraId="1F3F4242">
            <w:pPr>
              <w:pStyle w:val="48"/>
              <w:spacing w:line="240" w:lineRule="auto"/>
              <w:ind w:firstLine="0" w:firstLineChars="0"/>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达到</w:t>
            </w:r>
            <w:r>
              <w:rPr>
                <w:rFonts w:hint="eastAsia" w:ascii="宋体" w:hAnsi="宋体" w:eastAsia="宋体" w:cs="宋体"/>
                <w:color w:val="auto"/>
                <w:kern w:val="2"/>
                <w:sz w:val="21"/>
                <w:szCs w:val="21"/>
                <w:highlight w:val="none"/>
              </w:rPr>
              <w:t>竞争谈判文件要求。</w:t>
            </w:r>
          </w:p>
        </w:tc>
      </w:tr>
      <w:tr w14:paraId="253579D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402" w:type="dxa"/>
            <w:tcBorders>
              <w:left w:val="thinThickSmallGap" w:color="auto" w:sz="12" w:space="0"/>
              <w:right w:val="single" w:color="auto" w:sz="4" w:space="0"/>
            </w:tcBorders>
            <w:noWrap w:val="0"/>
            <w:vAlign w:val="center"/>
          </w:tcPr>
          <w:p w14:paraId="5B483D3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质量目标</w:t>
            </w:r>
          </w:p>
        </w:tc>
        <w:tc>
          <w:tcPr>
            <w:tcW w:w="7114" w:type="dxa"/>
            <w:tcBorders>
              <w:top w:val="single" w:color="auto" w:sz="4" w:space="0"/>
              <w:left w:val="single" w:color="auto" w:sz="4" w:space="0"/>
              <w:bottom w:val="single" w:color="auto" w:sz="4" w:space="0"/>
              <w:right w:val="thinThickSmallGap" w:color="auto" w:sz="12" w:space="0"/>
            </w:tcBorders>
            <w:noWrap w:val="0"/>
            <w:vAlign w:val="center"/>
          </w:tcPr>
          <w:p w14:paraId="1DDD5306">
            <w:pPr>
              <w:pStyle w:val="48"/>
              <w:spacing w:line="240" w:lineRule="auto"/>
              <w:ind w:firstLine="0" w:firstLineChars="0"/>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达到</w:t>
            </w:r>
            <w:r>
              <w:rPr>
                <w:rFonts w:hint="eastAsia" w:ascii="宋体" w:hAnsi="宋体" w:eastAsia="宋体" w:cs="宋体"/>
                <w:color w:val="auto"/>
                <w:kern w:val="2"/>
                <w:sz w:val="21"/>
                <w:szCs w:val="21"/>
                <w:highlight w:val="none"/>
              </w:rPr>
              <w:t>竞争谈判文件要求。</w:t>
            </w:r>
          </w:p>
        </w:tc>
      </w:tr>
      <w:tr w14:paraId="0A2BC7E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16" w:type="dxa"/>
            <w:gridSpan w:val="2"/>
            <w:tcBorders>
              <w:top w:val="single" w:color="auto" w:sz="4" w:space="0"/>
              <w:left w:val="thinThickSmallGap" w:color="auto" w:sz="12" w:space="0"/>
              <w:bottom w:val="thinThickSmallGap" w:color="auto" w:sz="12" w:space="0"/>
              <w:right w:val="thinThickSmallGap" w:color="auto" w:sz="12" w:space="0"/>
            </w:tcBorders>
            <w:noWrap w:val="0"/>
            <w:vAlign w:val="center"/>
          </w:tcPr>
          <w:p w14:paraId="14F72D89">
            <w:pPr>
              <w:ind w:firstLine="1575" w:firstLineChars="7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供应商（盖公章）：</w:t>
            </w:r>
          </w:p>
          <w:p w14:paraId="37EB0497">
            <w:pPr>
              <w:ind w:firstLine="420"/>
              <w:rPr>
                <w:rFonts w:hint="eastAsia" w:ascii="宋体" w:hAnsi="宋体" w:eastAsia="宋体" w:cs="宋体"/>
                <w:color w:val="auto"/>
                <w:sz w:val="21"/>
                <w:szCs w:val="21"/>
                <w:highlight w:val="none"/>
              </w:rPr>
            </w:pPr>
          </w:p>
          <w:p w14:paraId="6EE4E7C8">
            <w:pPr>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eastAsia="zh-CN"/>
              </w:rPr>
              <w:t>法定代表人</w:t>
            </w:r>
            <w:r>
              <w:rPr>
                <w:rFonts w:hint="eastAsia" w:ascii="宋体" w:hAnsi="宋体" w:eastAsia="宋体" w:cs="宋体"/>
                <w:color w:val="auto"/>
                <w:sz w:val="21"/>
                <w:szCs w:val="21"/>
                <w:highlight w:val="none"/>
              </w:rPr>
              <w:t>或其委托代理人（签字）：</w:t>
            </w:r>
          </w:p>
          <w:p w14:paraId="056E31CB">
            <w:pPr>
              <w:ind w:firstLine="420"/>
              <w:rPr>
                <w:rFonts w:hint="eastAsia" w:ascii="宋体" w:hAnsi="宋体" w:eastAsia="宋体" w:cs="宋体"/>
                <w:color w:val="auto"/>
                <w:sz w:val="21"/>
                <w:szCs w:val="21"/>
                <w:highlight w:val="none"/>
              </w:rPr>
            </w:pPr>
          </w:p>
          <w:p w14:paraId="29EF8E68">
            <w:pPr>
              <w:pStyle w:val="2"/>
              <w:rPr>
                <w:rFonts w:hint="eastAsia" w:ascii="宋体" w:hAnsi="宋体" w:eastAsia="宋体" w:cs="宋体"/>
                <w:color w:val="auto"/>
                <w:sz w:val="21"/>
                <w:szCs w:val="21"/>
                <w:highlight w:val="none"/>
              </w:rPr>
            </w:pPr>
          </w:p>
          <w:p w14:paraId="5CE94D14">
            <w:pPr>
              <w:rPr>
                <w:rFonts w:hint="eastAsia" w:ascii="宋体" w:hAnsi="宋体" w:eastAsia="宋体" w:cs="宋体"/>
                <w:color w:val="auto"/>
                <w:sz w:val="21"/>
                <w:szCs w:val="21"/>
                <w:highlight w:val="none"/>
              </w:rPr>
            </w:pPr>
          </w:p>
          <w:p w14:paraId="15C26343">
            <w:pPr>
              <w:pStyle w:val="2"/>
              <w:rPr>
                <w:rFonts w:hint="eastAsia" w:ascii="宋体" w:hAnsi="宋体" w:eastAsia="宋体" w:cs="宋体"/>
                <w:color w:val="auto"/>
                <w:sz w:val="21"/>
                <w:szCs w:val="21"/>
                <w:highlight w:val="none"/>
              </w:rPr>
            </w:pPr>
          </w:p>
          <w:p w14:paraId="11F057CC">
            <w:pPr>
              <w:rPr>
                <w:rFonts w:hint="eastAsia" w:ascii="宋体" w:hAnsi="宋体" w:eastAsia="宋体" w:cs="宋体"/>
                <w:color w:val="auto"/>
                <w:sz w:val="21"/>
                <w:szCs w:val="21"/>
                <w:highlight w:val="none"/>
              </w:rPr>
            </w:pPr>
          </w:p>
          <w:p w14:paraId="0AC02A99">
            <w:pPr>
              <w:pStyle w:val="2"/>
              <w:rPr>
                <w:rFonts w:hint="eastAsia" w:ascii="宋体" w:hAnsi="宋体" w:eastAsia="宋体" w:cs="宋体"/>
                <w:color w:val="auto"/>
                <w:sz w:val="21"/>
                <w:szCs w:val="21"/>
                <w:highlight w:val="none"/>
              </w:rPr>
            </w:pPr>
          </w:p>
          <w:p w14:paraId="42DC3AB9">
            <w:pPr>
              <w:rPr>
                <w:rFonts w:hint="eastAsia" w:ascii="宋体" w:hAnsi="宋体" w:eastAsia="宋体" w:cs="宋体"/>
                <w:color w:val="auto"/>
                <w:sz w:val="21"/>
                <w:szCs w:val="21"/>
                <w:highlight w:val="none"/>
              </w:rPr>
            </w:pPr>
          </w:p>
          <w:p w14:paraId="1AD6F0F4">
            <w:pPr>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年       月      日</w:t>
            </w:r>
          </w:p>
        </w:tc>
      </w:tr>
    </w:tbl>
    <w:p w14:paraId="131A9EDB">
      <w:pPr>
        <w:pStyle w:val="2"/>
        <w:ind w:firstLine="420" w:firstLineChars="200"/>
        <w:jc w:val="left"/>
        <w:outlineLvl w:val="9"/>
        <w:rPr>
          <w:rFonts w:hint="eastAsia" w:ascii="宋体" w:hAnsi="宋体" w:eastAsia="宋体" w:cs="宋体"/>
          <w:bCs/>
          <w:color w:val="auto"/>
          <w:szCs w:val="21"/>
          <w:highlight w:val="none"/>
        </w:rPr>
      </w:pPr>
      <w:bookmarkStart w:id="773" w:name="_Toc10468"/>
      <w:r>
        <w:rPr>
          <w:rFonts w:hint="eastAsia" w:ascii="宋体" w:hAnsi="宋体" w:eastAsia="宋体" w:cs="宋体"/>
          <w:bCs/>
          <w:color w:val="auto"/>
          <w:szCs w:val="21"/>
          <w:highlight w:val="none"/>
        </w:rPr>
        <w:t>注：1</w:t>
      </w:r>
      <w:r>
        <w:rPr>
          <w:rFonts w:hint="eastAsia" w:ascii="宋体" w:hAnsi="宋体" w:eastAsia="宋体" w:cs="宋体"/>
          <w:bCs/>
          <w:color w:val="auto"/>
          <w:szCs w:val="21"/>
          <w:highlight w:val="none"/>
          <w:lang w:val="en-US" w:eastAsia="zh-CN"/>
        </w:rPr>
        <w:t xml:space="preserve">. </w:t>
      </w:r>
      <w:r>
        <w:rPr>
          <w:rFonts w:hint="eastAsia" w:ascii="宋体" w:hAnsi="宋体" w:eastAsia="宋体" w:cs="宋体"/>
          <w:bCs/>
          <w:color w:val="auto"/>
          <w:szCs w:val="21"/>
          <w:highlight w:val="none"/>
        </w:rPr>
        <w:t>本表不放入</w:t>
      </w:r>
      <w:r>
        <w:rPr>
          <w:rFonts w:hint="eastAsia" w:ascii="宋体" w:hAnsi="宋体" w:eastAsia="宋体" w:cs="宋体"/>
          <w:bCs/>
          <w:color w:val="auto"/>
          <w:szCs w:val="21"/>
          <w:highlight w:val="none"/>
          <w:lang w:val="en-US" w:eastAsia="zh-CN"/>
        </w:rPr>
        <w:t>投标</w:t>
      </w:r>
      <w:r>
        <w:rPr>
          <w:rFonts w:hint="eastAsia" w:ascii="宋体" w:hAnsi="宋体" w:eastAsia="宋体" w:cs="宋体"/>
          <w:bCs/>
          <w:color w:val="auto"/>
          <w:szCs w:val="21"/>
          <w:highlight w:val="none"/>
        </w:rPr>
        <w:t>响应文件。</w:t>
      </w:r>
    </w:p>
    <w:p w14:paraId="72AB643C">
      <w:pPr>
        <w:pStyle w:val="2"/>
        <w:numPr>
          <w:ilvl w:val="0"/>
          <w:numId w:val="4"/>
        </w:numPr>
        <w:ind w:firstLine="840" w:firstLineChars="400"/>
        <w:jc w:val="both"/>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各供应商单独准备两份加盖公章未明确价格的报价表在谈判现场填写。</w:t>
      </w:r>
      <w:bookmarkEnd w:id="773"/>
    </w:p>
    <w:p w14:paraId="51F71332">
      <w:pPr>
        <w:pStyle w:val="2"/>
        <w:jc w:val="both"/>
        <w:outlineLvl w:val="2"/>
        <w:rPr>
          <w:rFonts w:ascii="方正仿宋_GBK" w:hAnsi="方正仿宋_GBK" w:eastAsia="方正仿宋_GBK" w:cs="宋体"/>
          <w:bCs/>
          <w:color w:val="auto"/>
          <w:szCs w:val="21"/>
          <w:highlight w:val="none"/>
        </w:rPr>
        <w:sectPr>
          <w:pgSz w:w="11906" w:h="16838"/>
          <w:pgMar w:top="1304" w:right="1134" w:bottom="1304" w:left="1304" w:header="851" w:footer="992" w:gutter="0"/>
          <w:pgNumType w:fmt="decimal"/>
          <w:cols w:space="720" w:num="1"/>
          <w:docGrid w:linePitch="312" w:charSpace="0"/>
        </w:sectPr>
      </w:pPr>
    </w:p>
    <w:p w14:paraId="4099CBC9">
      <w:pPr>
        <w:jc w:val="center"/>
        <w:rPr>
          <w:rFonts w:hint="eastAsia" w:ascii="宋体" w:hAnsi="宋体" w:eastAsia="宋体" w:cs="宋体"/>
          <w:b/>
          <w:kern w:val="2"/>
          <w:sz w:val="32"/>
          <w:szCs w:val="20"/>
          <w:lang w:val="en-US" w:eastAsia="zh-CN" w:bidi="ar-SA"/>
        </w:rPr>
      </w:pPr>
      <w:bookmarkStart w:id="774" w:name="_Toc80884538"/>
      <w:bookmarkStart w:id="775" w:name="_Toc11106"/>
      <w:bookmarkStart w:id="776" w:name="_Toc69937241"/>
      <w:bookmarkStart w:id="777" w:name="_Toc32107"/>
      <w:bookmarkStart w:id="778" w:name="_Toc24461"/>
      <w:bookmarkStart w:id="779" w:name="_Toc74125966"/>
      <w:r>
        <w:rPr>
          <w:rFonts w:hint="eastAsia" w:ascii="宋体" w:hAnsi="宋体" w:eastAsia="宋体" w:cs="宋体"/>
          <w:b/>
          <w:kern w:val="2"/>
          <w:sz w:val="32"/>
          <w:szCs w:val="20"/>
          <w:lang w:val="en-US" w:eastAsia="zh-CN" w:bidi="ar-SA"/>
        </w:rPr>
        <w:t>二</w:t>
      </w:r>
      <w:bookmarkEnd w:id="749"/>
      <w:bookmarkEnd w:id="750"/>
      <w:bookmarkEnd w:id="751"/>
      <w:bookmarkEnd w:id="752"/>
      <w:bookmarkEnd w:id="753"/>
      <w:bookmarkEnd w:id="754"/>
      <w:bookmarkEnd w:id="755"/>
      <w:bookmarkEnd w:id="756"/>
      <w:bookmarkEnd w:id="757"/>
      <w:bookmarkEnd w:id="758"/>
      <w:bookmarkEnd w:id="759"/>
      <w:r>
        <w:rPr>
          <w:rFonts w:hint="eastAsia" w:ascii="宋体" w:hAnsi="宋体" w:eastAsia="宋体" w:cs="宋体"/>
          <w:b/>
          <w:kern w:val="2"/>
          <w:sz w:val="32"/>
          <w:szCs w:val="20"/>
          <w:lang w:val="en-US" w:eastAsia="zh-CN" w:bidi="ar-SA"/>
        </w:rPr>
        <w:t>、法定代表人身份证明</w:t>
      </w:r>
      <w:bookmarkEnd w:id="774"/>
      <w:bookmarkEnd w:id="775"/>
      <w:bookmarkEnd w:id="776"/>
      <w:bookmarkEnd w:id="777"/>
      <w:bookmarkEnd w:id="778"/>
      <w:bookmarkEnd w:id="779"/>
    </w:p>
    <w:p w14:paraId="468907EF">
      <w:pPr>
        <w:spacing w:line="700" w:lineRule="exact"/>
        <w:rPr>
          <w:rFonts w:ascii="宋体" w:hAnsi="宋体"/>
          <w:szCs w:val="21"/>
        </w:rPr>
      </w:pPr>
      <w:r>
        <w:rPr>
          <w:rFonts w:hint="eastAsia" w:ascii="宋体" w:hAnsi="宋体"/>
          <w:szCs w:val="21"/>
        </w:rPr>
        <w:t>单位名称：</w:t>
      </w:r>
    </w:p>
    <w:p w14:paraId="32BAC31D">
      <w:pPr>
        <w:spacing w:line="700" w:lineRule="exact"/>
        <w:rPr>
          <w:rFonts w:ascii="宋体" w:hAnsi="宋体"/>
          <w:szCs w:val="21"/>
        </w:rPr>
      </w:pPr>
      <w:r>
        <w:rPr>
          <w:rFonts w:ascii="宋体" w:hAnsi="宋体"/>
          <w:szCs w:val="21"/>
        </w:rPr>
        <mc:AlternateContent>
          <mc:Choice Requires="wps">
            <w:drawing>
              <wp:anchor distT="0" distB="0" distL="0" distR="0" simplePos="0" relativeHeight="251659264" behindDoc="0" locked="0" layoutInCell="1" allowOverlap="1">
                <wp:simplePos x="0" y="0"/>
                <wp:positionH relativeFrom="column">
                  <wp:posOffset>1257300</wp:posOffset>
                </wp:positionH>
                <wp:positionV relativeFrom="paragraph">
                  <wp:posOffset>378460</wp:posOffset>
                </wp:positionV>
                <wp:extent cx="4114800" cy="0"/>
                <wp:effectExtent l="0" t="0" r="0" b="0"/>
                <wp:wrapNone/>
                <wp:docPr id="1039" name="Line 4"/>
                <wp:cNvGraphicFramePr/>
                <a:graphic xmlns:a="http://schemas.openxmlformats.org/drawingml/2006/main">
                  <a:graphicData uri="http://schemas.microsoft.com/office/word/2010/wordprocessingShape">
                    <wps:wsp>
                      <wps:cNvCnPr/>
                      <wps:spPr>
                        <a:xfrm>
                          <a:off x="0" y="0"/>
                          <a:ext cx="41148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Line 4" o:spid="_x0000_s1026" o:spt="20" style="position:absolute;left:0pt;margin-left:99pt;margin-top:29.8pt;height:0pt;width:324pt;z-index:251659264;mso-width-relative:page;mso-height-relative:page;" filled="f" stroked="t" coordsize="21600,21600" o:gfxdata="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DZnsnWAAAACQEAAA8AAAAAAAAA&#10;AQAgAAAAIgAAAGRycy9kb3ducmV2LnhtbFBLAQIUABQAAAAIAIdO4kAe55HZ2gEAANoDAAAOAAAA&#10;AAAAAAEAIAAAACUBAABkcnMvZTJvRG9jLnhtbFBLBQYAAAAABgAGAFkBAABxBQAAAAA=&#10;">
                <v:fill on="f" focussize="0,0"/>
                <v:stroke color="#000000" joinstyle="round"/>
                <v:imagedata o:title=""/>
                <o:lock v:ext="edit" aspectratio="f"/>
              </v:line>
            </w:pict>
          </mc:Fallback>
        </mc:AlternateContent>
      </w:r>
      <w:r>
        <w:rPr>
          <w:rFonts w:hint="eastAsia" w:ascii="宋体" w:hAnsi="宋体"/>
          <w:szCs w:val="21"/>
        </w:rPr>
        <w:t xml:space="preserve">    单位性质： </w:t>
      </w:r>
    </w:p>
    <w:p w14:paraId="6656DC31">
      <w:pPr>
        <w:spacing w:line="700" w:lineRule="exact"/>
        <w:rPr>
          <w:rFonts w:ascii="宋体" w:hAnsi="宋体"/>
          <w:szCs w:val="21"/>
        </w:rPr>
      </w:pPr>
      <w:r>
        <w:rPr>
          <w:rFonts w:ascii="宋体" w:hAnsi="宋体"/>
          <w:szCs w:val="21"/>
        </w:rPr>
        <mc:AlternateContent>
          <mc:Choice Requires="wps">
            <w:drawing>
              <wp:anchor distT="0" distB="0" distL="0" distR="0" simplePos="0" relativeHeight="251659264" behindDoc="0" locked="0" layoutInCell="1" allowOverlap="1">
                <wp:simplePos x="0" y="0"/>
                <wp:positionH relativeFrom="column">
                  <wp:posOffset>1257300</wp:posOffset>
                </wp:positionH>
                <wp:positionV relativeFrom="paragraph">
                  <wp:posOffset>428625</wp:posOffset>
                </wp:positionV>
                <wp:extent cx="4114800" cy="0"/>
                <wp:effectExtent l="0" t="0" r="0" b="0"/>
                <wp:wrapNone/>
                <wp:docPr id="1040" name="Line 5"/>
                <wp:cNvGraphicFramePr/>
                <a:graphic xmlns:a="http://schemas.openxmlformats.org/drawingml/2006/main">
                  <a:graphicData uri="http://schemas.microsoft.com/office/word/2010/wordprocessingShape">
                    <wps:wsp>
                      <wps:cNvCnPr/>
                      <wps:spPr>
                        <a:xfrm>
                          <a:off x="0" y="0"/>
                          <a:ext cx="41148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Line 5" o:spid="_x0000_s1026" o:spt="20" style="position:absolute;left:0pt;margin-left:99pt;margin-top:33.75pt;height:0pt;width:324pt;z-index:251659264;mso-width-relative:page;mso-height-relative:page;" filled="f" stroked="t" coordsize="21600,21600" o:gfxdata="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Wj5CSdYAAAAJAQAADwAAAAAAAAAB&#10;ACAAAAAiAAAAZHJzL2Rvd25yZXYueG1sUEsBAhQAFAAAAAgAh07iQE2dDnXZAQAA2gMAAA4AAAAA&#10;AAAAAQAgAAAAJQEAAGRycy9lMm9Eb2MueG1sUEsFBgAAAAAGAAYAWQEAAHAFAAAAAA==&#10;">
                <v:fill on="f" focussize="0,0"/>
                <v:stroke color="#000000" joinstyle="round"/>
                <v:imagedata o:title=""/>
                <o:lock v:ext="edit" aspectratio="f"/>
              </v:line>
            </w:pict>
          </mc:Fallback>
        </mc:AlternateContent>
      </w:r>
      <w:r>
        <w:rPr>
          <w:rFonts w:hint="eastAsia" w:ascii="宋体" w:hAnsi="宋体"/>
          <w:szCs w:val="21"/>
        </w:rPr>
        <w:t xml:space="preserve">    地    址：</w:t>
      </w:r>
    </w:p>
    <w:p w14:paraId="46FFAFEC">
      <w:pPr>
        <w:spacing w:line="700" w:lineRule="exact"/>
        <w:rPr>
          <w:rFonts w:ascii="宋体" w:hAnsi="宋体"/>
          <w:szCs w:val="21"/>
        </w:rPr>
      </w:pPr>
      <w:r>
        <w:rPr>
          <w:rFonts w:hint="eastAsia" w:ascii="宋体" w:hAnsi="宋体"/>
          <w:szCs w:val="21"/>
        </w:rPr>
        <w:t xml:space="preserve">    成立时间：    年    月    日</w:t>
      </w:r>
    </w:p>
    <w:p w14:paraId="4C161581">
      <w:pPr>
        <w:spacing w:line="700" w:lineRule="exact"/>
        <w:rPr>
          <w:rFonts w:ascii="宋体" w:hAnsi="宋体"/>
          <w:szCs w:val="21"/>
        </w:rPr>
      </w:pPr>
      <w:r>
        <w:rPr>
          <w:rFonts w:ascii="宋体" w:hAnsi="宋体"/>
          <w:szCs w:val="21"/>
        </w:rPr>
        <mc:AlternateContent>
          <mc:Choice Requires="wps">
            <w:drawing>
              <wp:anchor distT="0" distB="0" distL="0" distR="0" simplePos="0" relativeHeight="251659264" behindDoc="0" locked="0" layoutInCell="1" allowOverlap="1">
                <wp:simplePos x="0" y="0"/>
                <wp:positionH relativeFrom="column">
                  <wp:posOffset>1257300</wp:posOffset>
                </wp:positionH>
                <wp:positionV relativeFrom="paragraph">
                  <wp:posOffset>431800</wp:posOffset>
                </wp:positionV>
                <wp:extent cx="4114800" cy="0"/>
                <wp:effectExtent l="0" t="0" r="0" b="0"/>
                <wp:wrapNone/>
                <wp:docPr id="1041" name="Line 6"/>
                <wp:cNvGraphicFramePr/>
                <a:graphic xmlns:a="http://schemas.openxmlformats.org/drawingml/2006/main">
                  <a:graphicData uri="http://schemas.microsoft.com/office/word/2010/wordprocessingShape">
                    <wps:wsp>
                      <wps:cNvCnPr/>
                      <wps:spPr>
                        <a:xfrm>
                          <a:off x="0" y="0"/>
                          <a:ext cx="41148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Line 6" o:spid="_x0000_s1026" o:spt="20" style="position:absolute;left:0pt;margin-left:99pt;margin-top:34pt;height:0pt;width:324pt;z-index:251659264;mso-width-relative:page;mso-height-relative:page;" filled="f" stroked="t" coordsize="21600,21600" o:gfxdata="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KL407TAAAACQEAAA8AAAAAAAAAAQAg&#10;AAAAIgAAAGRycy9kb3ducmV2LnhtbFBLAQIUABQAAAAIAIdO4kC6ObWN2gEAANoDAAAOAAAAAAAA&#10;AAEAIAAAACIBAABkcnMvZTJvRG9jLnhtbFBLBQYAAAAABgAGAFkBAABuBQAAAAA=&#10;">
                <v:fill on="f" focussize="0,0"/>
                <v:stroke color="#000000" joinstyle="round"/>
                <v:imagedata o:title=""/>
                <o:lock v:ext="edit" aspectratio="f"/>
              </v:line>
            </w:pict>
          </mc:Fallback>
        </mc:AlternateContent>
      </w:r>
      <w:r>
        <w:rPr>
          <w:rFonts w:hint="eastAsia" w:ascii="宋体" w:hAnsi="宋体"/>
          <w:szCs w:val="21"/>
        </w:rPr>
        <w:t xml:space="preserve">    经营期限：</w:t>
      </w:r>
    </w:p>
    <w:p w14:paraId="0BD52E62">
      <w:pPr>
        <w:spacing w:line="700" w:lineRule="exact"/>
        <w:ind w:firstLine="555"/>
        <w:rPr>
          <w:rFonts w:ascii="宋体" w:hAnsi="宋体"/>
          <w:szCs w:val="21"/>
          <w:u w:val="single"/>
        </w:rPr>
      </w:pPr>
      <w:r>
        <w:rPr>
          <w:rFonts w:hint="eastAsia" w:ascii="宋体" w:hAnsi="宋体"/>
          <w:szCs w:val="21"/>
        </w:rPr>
        <w:t>姓    名：</w:t>
      </w:r>
      <w:r>
        <w:rPr>
          <w:rFonts w:hint="eastAsia" w:ascii="宋体" w:hAnsi="宋体"/>
          <w:szCs w:val="21"/>
          <w:u w:val="single"/>
        </w:rPr>
        <w:t xml:space="preserve">              </w:t>
      </w:r>
      <w:r>
        <w:rPr>
          <w:rFonts w:hint="eastAsia" w:ascii="宋体" w:hAnsi="宋体"/>
          <w:szCs w:val="21"/>
        </w:rPr>
        <w:t>性  别：</w:t>
      </w:r>
      <w:r>
        <w:rPr>
          <w:rFonts w:hint="eastAsia" w:ascii="宋体" w:hAnsi="宋体"/>
          <w:szCs w:val="21"/>
          <w:u w:val="single"/>
        </w:rPr>
        <w:t xml:space="preserve">         </w:t>
      </w:r>
    </w:p>
    <w:p w14:paraId="20C6A958">
      <w:pPr>
        <w:spacing w:line="700" w:lineRule="exact"/>
        <w:ind w:firstLine="555"/>
        <w:rPr>
          <w:rFonts w:ascii="宋体" w:hAnsi="宋体"/>
          <w:szCs w:val="21"/>
        </w:rPr>
      </w:pPr>
      <w:r>
        <w:rPr>
          <w:rFonts w:hint="eastAsia" w:ascii="宋体" w:hAnsi="宋体"/>
          <w:szCs w:val="21"/>
        </w:rPr>
        <w:t>年    龄：</w:t>
      </w:r>
      <w:r>
        <w:rPr>
          <w:rFonts w:hint="eastAsia" w:ascii="宋体" w:hAnsi="宋体"/>
          <w:szCs w:val="21"/>
          <w:u w:val="single"/>
        </w:rPr>
        <w:t xml:space="preserve">              </w:t>
      </w:r>
      <w:r>
        <w:rPr>
          <w:rFonts w:hint="eastAsia" w:ascii="宋体" w:hAnsi="宋体"/>
          <w:szCs w:val="21"/>
        </w:rPr>
        <w:t>职  务：</w:t>
      </w:r>
      <w:r>
        <w:rPr>
          <w:rFonts w:hint="eastAsia" w:ascii="宋体" w:hAnsi="宋体"/>
          <w:szCs w:val="21"/>
          <w:u w:val="single"/>
        </w:rPr>
        <w:t xml:space="preserve">         </w:t>
      </w:r>
      <w:r>
        <w:rPr>
          <w:rFonts w:hint="eastAsia" w:ascii="宋体" w:hAnsi="宋体"/>
          <w:szCs w:val="21"/>
        </w:rPr>
        <w:t xml:space="preserve"> </w:t>
      </w:r>
    </w:p>
    <w:p w14:paraId="76D30259">
      <w:pPr>
        <w:spacing w:line="700" w:lineRule="exact"/>
        <w:rPr>
          <w:rFonts w:ascii="宋体" w:hAnsi="宋体"/>
          <w:szCs w:val="21"/>
        </w:rPr>
      </w:pPr>
      <w:r>
        <w:rPr>
          <w:rFonts w:ascii="宋体" w:hAnsi="宋体"/>
          <w:szCs w:val="21"/>
        </w:rPr>
        <mc:AlternateContent>
          <mc:Choice Requires="wps">
            <w:drawing>
              <wp:anchor distT="0" distB="0" distL="0" distR="0" simplePos="0" relativeHeight="251659264" behindDoc="0" locked="0" layoutInCell="1" allowOverlap="1">
                <wp:simplePos x="0" y="0"/>
                <wp:positionH relativeFrom="column">
                  <wp:posOffset>800100</wp:posOffset>
                </wp:positionH>
                <wp:positionV relativeFrom="paragraph">
                  <wp:posOffset>386080</wp:posOffset>
                </wp:positionV>
                <wp:extent cx="2400300" cy="0"/>
                <wp:effectExtent l="0" t="0" r="0" b="0"/>
                <wp:wrapNone/>
                <wp:docPr id="1042" name="Line 2"/>
                <wp:cNvGraphicFramePr/>
                <a:graphic xmlns:a="http://schemas.openxmlformats.org/drawingml/2006/main">
                  <a:graphicData uri="http://schemas.microsoft.com/office/word/2010/wordprocessingShape">
                    <wps:wsp>
                      <wps:cNvCnPr/>
                      <wps:spPr>
                        <a:xfrm>
                          <a:off x="0" y="0"/>
                          <a:ext cx="240030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Line 2" o:spid="_x0000_s1026" o:spt="20" style="position:absolute;left:0pt;margin-left:63pt;margin-top:30.4pt;height:0pt;width:189pt;z-index:251659264;mso-width-relative:page;mso-height-relative:page;" filled="f" stroked="t" coordsize="21600,21600" o:gfxdata="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Vli3zUAAAACQEAAA8AAAAAAAAAAQAg&#10;AAAAIgAAAGRycy9kb3ducmV2LnhtbFBLAQIUABQAAAAIAIdO4kCHjiU02QEAANoDAAAOAAAAAAAA&#10;AAEAIAAAACMBAABkcnMvZTJvRG9jLnhtbFBLBQYAAAAABgAGAFkBAABuBQAAAAA=&#10;">
                <v:fill on="f" focussize="0,0"/>
                <v:stroke color="#000000" joinstyle="round"/>
                <v:imagedata o:title=""/>
                <o:lock v:ext="edit" aspectratio="f"/>
              </v:line>
            </w:pict>
          </mc:Fallback>
        </mc:AlternateContent>
      </w:r>
      <w:r>
        <w:rPr>
          <w:rFonts w:hint="eastAsia" w:ascii="宋体" w:hAnsi="宋体"/>
          <w:szCs w:val="21"/>
        </w:rPr>
        <w:t xml:space="preserve">     系       （供应商名称）          的法定代表人。</w:t>
      </w:r>
    </w:p>
    <w:p w14:paraId="35FD41E9">
      <w:pPr>
        <w:adjustRightInd w:val="0"/>
        <w:snapToGrid w:val="0"/>
        <w:spacing w:line="360" w:lineRule="auto"/>
        <w:rPr>
          <w:rFonts w:ascii="宋体" w:hAnsi="宋体" w:cs="宋体"/>
          <w:szCs w:val="21"/>
        </w:rPr>
      </w:pPr>
      <w:r>
        <w:rPr>
          <w:rFonts w:hint="eastAsia" w:ascii="宋体" w:hAnsi="宋体"/>
          <w:szCs w:val="21"/>
        </w:rPr>
        <w:t xml:space="preserve">     </w:t>
      </w:r>
      <w:r>
        <w:rPr>
          <w:szCs w:val="21"/>
        </w:rPr>
        <mc:AlternateContent>
          <mc:Choice Requires="wps">
            <w:drawing>
              <wp:anchor distT="0" distB="0" distL="0" distR="0" simplePos="0" relativeHeight="251659264" behindDoc="0" locked="0" layoutInCell="1" allowOverlap="1">
                <wp:simplePos x="0" y="0"/>
                <wp:positionH relativeFrom="column">
                  <wp:posOffset>2828925</wp:posOffset>
                </wp:positionH>
                <wp:positionV relativeFrom="paragraph">
                  <wp:posOffset>134620</wp:posOffset>
                </wp:positionV>
                <wp:extent cx="2813685" cy="1879600"/>
                <wp:effectExtent l="4445" t="4445" r="20320" b="20955"/>
                <wp:wrapNone/>
                <wp:docPr id="1043" name="文本框 6"/>
                <wp:cNvGraphicFramePr/>
                <a:graphic xmlns:a="http://schemas.openxmlformats.org/drawingml/2006/main">
                  <a:graphicData uri="http://schemas.microsoft.com/office/word/2010/wordprocessingShape">
                    <wps:wsp>
                      <wps:cNvSpPr/>
                      <wps:spPr>
                        <a:xfrm>
                          <a:off x="0" y="0"/>
                          <a:ext cx="2813684" cy="1879600"/>
                        </a:xfrm>
                        <a:prstGeom prst="rect">
                          <a:avLst/>
                        </a:prstGeom>
                        <a:solidFill>
                          <a:srgbClr val="FFFFFF"/>
                        </a:solidFill>
                        <a:ln w="3175" cap="flat" cmpd="sng">
                          <a:solidFill>
                            <a:srgbClr val="000000"/>
                          </a:solidFill>
                          <a:prstDash val="solid"/>
                          <a:miter/>
                          <a:headEnd type="none" w="med" len="med"/>
                          <a:tailEnd type="none" w="med" len="med"/>
                        </a:ln>
                      </wps:spPr>
                      <wps:txbx>
                        <w:txbxContent>
                          <w:p w14:paraId="5899B22E">
                            <w:pPr>
                              <w:jc w:val="center"/>
                              <w:rPr>
                                <w:sz w:val="24"/>
                              </w:rPr>
                            </w:pPr>
                          </w:p>
                          <w:p w14:paraId="49FB55C0">
                            <w:pPr>
                              <w:jc w:val="center"/>
                              <w:rPr>
                                <w:sz w:val="24"/>
                              </w:rPr>
                            </w:pPr>
                          </w:p>
                          <w:p w14:paraId="698CD6FA">
                            <w:pPr>
                              <w:jc w:val="center"/>
                              <w:rPr>
                                <w:sz w:val="24"/>
                              </w:rPr>
                            </w:pPr>
                          </w:p>
                          <w:p w14:paraId="61B28EB6">
                            <w:pPr>
                              <w:rPr>
                                <w:sz w:val="24"/>
                              </w:rPr>
                            </w:pPr>
                          </w:p>
                          <w:p w14:paraId="45379E46">
                            <w:pPr>
                              <w:snapToGrid w:val="0"/>
                              <w:spacing w:line="360" w:lineRule="auto"/>
                              <w:jc w:val="center"/>
                              <w:rPr>
                                <w:rFonts w:ascii="宋体" w:hAnsi="宋体" w:cs="宋体"/>
                                <w:szCs w:val="21"/>
                              </w:rPr>
                            </w:pPr>
                            <w:r>
                              <w:rPr>
                                <w:rFonts w:hint="eastAsia" w:ascii="宋体" w:hAnsi="宋体" w:cs="宋体"/>
                                <w:szCs w:val="21"/>
                              </w:rPr>
                              <w:t>法定代表人身份证复印件</w:t>
                            </w:r>
                          </w:p>
                          <w:p w14:paraId="430D02D5">
                            <w:pPr>
                              <w:snapToGrid w:val="0"/>
                              <w:spacing w:line="360" w:lineRule="auto"/>
                              <w:jc w:val="center"/>
                              <w:rPr>
                                <w:rFonts w:ascii="宋体" w:hAnsi="宋体" w:cs="宋体"/>
                                <w:szCs w:val="21"/>
                              </w:rPr>
                            </w:pPr>
                            <w:r>
                              <w:rPr>
                                <w:rFonts w:hint="eastAsia" w:ascii="宋体" w:hAnsi="宋体" w:cs="宋体"/>
                                <w:szCs w:val="21"/>
                              </w:rPr>
                              <w:t>（背面）</w:t>
                            </w:r>
                          </w:p>
                          <w:p w14:paraId="5A601E9B">
                            <w:pPr>
                              <w:rPr>
                                <w:sz w:val="24"/>
                              </w:rPr>
                            </w:pPr>
                          </w:p>
                        </w:txbxContent>
                      </wps:txbx>
                      <wps:bodyPr upright="1"/>
                    </wps:wsp>
                  </a:graphicData>
                </a:graphic>
              </wp:anchor>
            </w:drawing>
          </mc:Choice>
          <mc:Fallback>
            <w:pict>
              <v:rect id="文本框 6" o:spid="_x0000_s1026" o:spt="1" style="position:absolute;left:0pt;margin-left:222.75pt;margin-top:10.6pt;height:148pt;width:221.55pt;z-index:251659264;mso-width-relative:page;mso-height-relative:page;" fillcolor="#FFFFFF" filled="t" stroked="t" coordsize="21600,21600" o:gfxdata="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GpvG92AAAAAoBAAAPAAAAAAAAAAEAIAAA&#10;ACIAAABkcnMvZG93bnJldi54bWxQSwECFAAUAAAACACHTuJAM3gHIQwCAAAwBAAADgAAAAAAAAAB&#10;ACAAAAAnAQAAZHJzL2Uyb0RvYy54bWxQSwUGAAAAAAYABgBZAQAApQUAAAAA&#10;">
                <v:fill on="t" focussize="0,0"/>
                <v:stroke weight="0.25pt" color="#000000" joinstyle="miter"/>
                <v:imagedata o:title=""/>
                <o:lock v:ext="edit" aspectratio="f"/>
                <v:textbox>
                  <w:txbxContent>
                    <w:p w14:paraId="5899B22E">
                      <w:pPr>
                        <w:jc w:val="center"/>
                        <w:rPr>
                          <w:sz w:val="24"/>
                        </w:rPr>
                      </w:pPr>
                    </w:p>
                    <w:p w14:paraId="49FB55C0">
                      <w:pPr>
                        <w:jc w:val="center"/>
                        <w:rPr>
                          <w:sz w:val="24"/>
                        </w:rPr>
                      </w:pPr>
                    </w:p>
                    <w:p w14:paraId="698CD6FA">
                      <w:pPr>
                        <w:jc w:val="center"/>
                        <w:rPr>
                          <w:sz w:val="24"/>
                        </w:rPr>
                      </w:pPr>
                    </w:p>
                    <w:p w14:paraId="61B28EB6">
                      <w:pPr>
                        <w:rPr>
                          <w:sz w:val="24"/>
                        </w:rPr>
                      </w:pPr>
                    </w:p>
                    <w:p w14:paraId="45379E46">
                      <w:pPr>
                        <w:snapToGrid w:val="0"/>
                        <w:spacing w:line="360" w:lineRule="auto"/>
                        <w:jc w:val="center"/>
                        <w:rPr>
                          <w:rFonts w:ascii="宋体" w:hAnsi="宋体" w:cs="宋体"/>
                          <w:szCs w:val="21"/>
                        </w:rPr>
                      </w:pPr>
                      <w:r>
                        <w:rPr>
                          <w:rFonts w:hint="eastAsia" w:ascii="宋体" w:hAnsi="宋体" w:cs="宋体"/>
                          <w:szCs w:val="21"/>
                        </w:rPr>
                        <w:t>法定代表人身份证复印件</w:t>
                      </w:r>
                    </w:p>
                    <w:p w14:paraId="430D02D5">
                      <w:pPr>
                        <w:snapToGrid w:val="0"/>
                        <w:spacing w:line="360" w:lineRule="auto"/>
                        <w:jc w:val="center"/>
                        <w:rPr>
                          <w:rFonts w:ascii="宋体" w:hAnsi="宋体" w:cs="宋体"/>
                          <w:szCs w:val="21"/>
                        </w:rPr>
                      </w:pPr>
                      <w:r>
                        <w:rPr>
                          <w:rFonts w:hint="eastAsia" w:ascii="宋体" w:hAnsi="宋体" w:cs="宋体"/>
                          <w:szCs w:val="21"/>
                        </w:rPr>
                        <w:t>（背面）</w:t>
                      </w:r>
                    </w:p>
                    <w:p w14:paraId="5A601E9B">
                      <w:pPr>
                        <w:rPr>
                          <w:sz w:val="24"/>
                        </w:rPr>
                      </w:pPr>
                    </w:p>
                  </w:txbxContent>
                </v:textbox>
              </v:rect>
            </w:pict>
          </mc:Fallback>
        </mc:AlternateContent>
      </w:r>
      <w:r>
        <w:rPr>
          <w:szCs w:val="21"/>
        </w:rPr>
        <mc:AlternateContent>
          <mc:Choice Requires="wps">
            <w:drawing>
              <wp:anchor distT="0" distB="0" distL="0" distR="0" simplePos="0" relativeHeight="251659264" behindDoc="0" locked="0" layoutInCell="1" allowOverlap="1">
                <wp:simplePos x="0" y="0"/>
                <wp:positionH relativeFrom="column">
                  <wp:posOffset>-24765</wp:posOffset>
                </wp:positionH>
                <wp:positionV relativeFrom="paragraph">
                  <wp:posOffset>137795</wp:posOffset>
                </wp:positionV>
                <wp:extent cx="2813685" cy="1879600"/>
                <wp:effectExtent l="4445" t="4445" r="20320" b="20955"/>
                <wp:wrapNone/>
                <wp:docPr id="1044" name="文本框 7"/>
                <wp:cNvGraphicFramePr/>
                <a:graphic xmlns:a="http://schemas.openxmlformats.org/drawingml/2006/main">
                  <a:graphicData uri="http://schemas.microsoft.com/office/word/2010/wordprocessingShape">
                    <wps:wsp>
                      <wps:cNvSpPr/>
                      <wps:spPr>
                        <a:xfrm>
                          <a:off x="0" y="0"/>
                          <a:ext cx="2813685" cy="1879600"/>
                        </a:xfrm>
                        <a:prstGeom prst="rect">
                          <a:avLst/>
                        </a:prstGeom>
                        <a:solidFill>
                          <a:srgbClr val="FFFFFF"/>
                        </a:solidFill>
                        <a:ln w="3175" cap="flat" cmpd="sng">
                          <a:solidFill>
                            <a:srgbClr val="000000"/>
                          </a:solidFill>
                          <a:prstDash val="solid"/>
                          <a:miter/>
                          <a:headEnd type="none" w="med" len="med"/>
                          <a:tailEnd type="none" w="med" len="med"/>
                        </a:ln>
                      </wps:spPr>
                      <wps:txbx>
                        <w:txbxContent>
                          <w:p w14:paraId="7FB12431">
                            <w:pPr>
                              <w:rPr>
                                <w:sz w:val="24"/>
                              </w:rPr>
                            </w:pPr>
                          </w:p>
                          <w:p w14:paraId="53A08275">
                            <w:pPr>
                              <w:rPr>
                                <w:sz w:val="24"/>
                              </w:rPr>
                            </w:pPr>
                          </w:p>
                          <w:p w14:paraId="36B8889F">
                            <w:pPr>
                              <w:rPr>
                                <w:sz w:val="24"/>
                              </w:rPr>
                            </w:pPr>
                          </w:p>
                          <w:p w14:paraId="1C5F5098">
                            <w:pPr>
                              <w:rPr>
                                <w:sz w:val="24"/>
                              </w:rPr>
                            </w:pPr>
                          </w:p>
                          <w:p w14:paraId="721CDE5A">
                            <w:pPr>
                              <w:snapToGrid w:val="0"/>
                              <w:spacing w:line="360" w:lineRule="auto"/>
                              <w:jc w:val="center"/>
                              <w:rPr>
                                <w:rFonts w:ascii="宋体" w:hAnsi="宋体" w:cs="宋体"/>
                                <w:szCs w:val="21"/>
                              </w:rPr>
                            </w:pPr>
                            <w:r>
                              <w:rPr>
                                <w:rFonts w:hint="eastAsia" w:ascii="宋体" w:hAnsi="宋体" w:cs="宋体"/>
                                <w:szCs w:val="21"/>
                              </w:rPr>
                              <w:t>法定代表人身份证复印件</w:t>
                            </w:r>
                          </w:p>
                          <w:p w14:paraId="29C4007D">
                            <w:pPr>
                              <w:snapToGrid w:val="0"/>
                              <w:spacing w:line="360" w:lineRule="auto"/>
                              <w:jc w:val="center"/>
                              <w:rPr>
                                <w:rFonts w:ascii="宋体" w:hAnsi="宋体" w:cs="宋体"/>
                                <w:szCs w:val="21"/>
                              </w:rPr>
                            </w:pPr>
                            <w:r>
                              <w:rPr>
                                <w:rFonts w:hint="eastAsia" w:ascii="宋体" w:hAnsi="宋体" w:cs="宋体"/>
                                <w:szCs w:val="21"/>
                              </w:rPr>
                              <w:t>（正面）</w:t>
                            </w:r>
                          </w:p>
                          <w:p w14:paraId="58513878">
                            <w:pPr>
                              <w:rPr>
                                <w:sz w:val="24"/>
                              </w:rPr>
                            </w:pPr>
                          </w:p>
                          <w:p w14:paraId="673504AD">
                            <w:pPr>
                              <w:rPr>
                                <w:sz w:val="24"/>
                              </w:rPr>
                            </w:pPr>
                          </w:p>
                          <w:p w14:paraId="61472F3A">
                            <w:pPr>
                              <w:rPr>
                                <w:sz w:val="24"/>
                              </w:rPr>
                            </w:pPr>
                          </w:p>
                        </w:txbxContent>
                      </wps:txbx>
                      <wps:bodyPr upright="1"/>
                    </wps:wsp>
                  </a:graphicData>
                </a:graphic>
              </wp:anchor>
            </w:drawing>
          </mc:Choice>
          <mc:Fallback>
            <w:pict>
              <v:rect id="文本框 7" o:spid="_x0000_s1026" o:spt="1" style="position:absolute;left:0pt;margin-left:-1.95pt;margin-top:10.85pt;height:148pt;width:221.55pt;z-index:251659264;mso-width-relative:page;mso-height-relative:page;" fillcolor="#FFFFFF" filled="t" stroked="t" coordsize="21600,21600" o:gfxdata="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a9XStcAAAAJAQAADwAAAAAAAAABACAAAAAi&#10;AAAAZHJzL2Rvd25yZXYueG1sUEsBAhQAFAAAAAgAh07iQOV190YLAgAAMAQAAA4AAAAAAAAAAQAg&#10;AAAAJgEAAGRycy9lMm9Eb2MueG1sUEsFBgAAAAAGAAYAWQEAAKMFAAAAAA==&#10;">
                <v:fill on="t" focussize="0,0"/>
                <v:stroke weight="0.25pt" color="#000000" joinstyle="miter"/>
                <v:imagedata o:title=""/>
                <o:lock v:ext="edit" aspectratio="f"/>
                <v:textbox>
                  <w:txbxContent>
                    <w:p w14:paraId="7FB12431">
                      <w:pPr>
                        <w:rPr>
                          <w:sz w:val="24"/>
                        </w:rPr>
                      </w:pPr>
                    </w:p>
                    <w:p w14:paraId="53A08275">
                      <w:pPr>
                        <w:rPr>
                          <w:sz w:val="24"/>
                        </w:rPr>
                      </w:pPr>
                    </w:p>
                    <w:p w14:paraId="36B8889F">
                      <w:pPr>
                        <w:rPr>
                          <w:sz w:val="24"/>
                        </w:rPr>
                      </w:pPr>
                    </w:p>
                    <w:p w14:paraId="1C5F5098">
                      <w:pPr>
                        <w:rPr>
                          <w:sz w:val="24"/>
                        </w:rPr>
                      </w:pPr>
                    </w:p>
                    <w:p w14:paraId="721CDE5A">
                      <w:pPr>
                        <w:snapToGrid w:val="0"/>
                        <w:spacing w:line="360" w:lineRule="auto"/>
                        <w:jc w:val="center"/>
                        <w:rPr>
                          <w:rFonts w:ascii="宋体" w:hAnsi="宋体" w:cs="宋体"/>
                          <w:szCs w:val="21"/>
                        </w:rPr>
                      </w:pPr>
                      <w:r>
                        <w:rPr>
                          <w:rFonts w:hint="eastAsia" w:ascii="宋体" w:hAnsi="宋体" w:cs="宋体"/>
                          <w:szCs w:val="21"/>
                        </w:rPr>
                        <w:t>法定代表人身份证复印件</w:t>
                      </w:r>
                    </w:p>
                    <w:p w14:paraId="29C4007D">
                      <w:pPr>
                        <w:snapToGrid w:val="0"/>
                        <w:spacing w:line="360" w:lineRule="auto"/>
                        <w:jc w:val="center"/>
                        <w:rPr>
                          <w:rFonts w:ascii="宋体" w:hAnsi="宋体" w:cs="宋体"/>
                          <w:szCs w:val="21"/>
                        </w:rPr>
                      </w:pPr>
                      <w:r>
                        <w:rPr>
                          <w:rFonts w:hint="eastAsia" w:ascii="宋体" w:hAnsi="宋体" w:cs="宋体"/>
                          <w:szCs w:val="21"/>
                        </w:rPr>
                        <w:t>（正面）</w:t>
                      </w:r>
                    </w:p>
                    <w:p w14:paraId="58513878">
                      <w:pPr>
                        <w:rPr>
                          <w:sz w:val="24"/>
                        </w:rPr>
                      </w:pPr>
                    </w:p>
                    <w:p w14:paraId="673504AD">
                      <w:pPr>
                        <w:rPr>
                          <w:sz w:val="24"/>
                        </w:rPr>
                      </w:pPr>
                    </w:p>
                    <w:p w14:paraId="61472F3A">
                      <w:pPr>
                        <w:rPr>
                          <w:sz w:val="24"/>
                        </w:rPr>
                      </w:pPr>
                    </w:p>
                  </w:txbxContent>
                </v:textbox>
              </v:rect>
            </w:pict>
          </mc:Fallback>
        </mc:AlternateContent>
      </w:r>
    </w:p>
    <w:p w14:paraId="63BA639D">
      <w:pPr>
        <w:snapToGrid w:val="0"/>
        <w:spacing w:line="360" w:lineRule="auto"/>
        <w:jc w:val="center"/>
        <w:rPr>
          <w:rFonts w:ascii="宋体" w:hAnsi="宋体" w:cs="宋体"/>
          <w:szCs w:val="21"/>
        </w:rPr>
      </w:pPr>
    </w:p>
    <w:p w14:paraId="6A4A5680">
      <w:pPr>
        <w:snapToGrid w:val="0"/>
        <w:spacing w:line="360" w:lineRule="auto"/>
        <w:jc w:val="center"/>
        <w:rPr>
          <w:rFonts w:ascii="宋体" w:hAnsi="宋体" w:cs="宋体"/>
          <w:szCs w:val="21"/>
        </w:rPr>
      </w:pPr>
    </w:p>
    <w:p w14:paraId="7722331C">
      <w:pPr>
        <w:snapToGrid w:val="0"/>
        <w:spacing w:line="360" w:lineRule="auto"/>
        <w:jc w:val="center"/>
        <w:rPr>
          <w:rFonts w:ascii="宋体" w:hAnsi="宋体" w:cs="宋体"/>
          <w:szCs w:val="21"/>
        </w:rPr>
      </w:pPr>
    </w:p>
    <w:p w14:paraId="65D3082F">
      <w:pPr>
        <w:snapToGrid w:val="0"/>
        <w:spacing w:line="360" w:lineRule="auto"/>
        <w:jc w:val="center"/>
        <w:rPr>
          <w:rFonts w:ascii="宋体" w:hAnsi="宋体" w:cs="宋体"/>
          <w:szCs w:val="21"/>
        </w:rPr>
      </w:pPr>
    </w:p>
    <w:p w14:paraId="1218F9C1">
      <w:pPr>
        <w:snapToGrid w:val="0"/>
        <w:spacing w:line="360" w:lineRule="auto"/>
        <w:jc w:val="center"/>
        <w:rPr>
          <w:rFonts w:ascii="宋体" w:hAnsi="宋体" w:cs="宋体"/>
          <w:szCs w:val="21"/>
        </w:rPr>
      </w:pPr>
    </w:p>
    <w:p w14:paraId="0CB8BAAA">
      <w:pPr>
        <w:snapToGrid w:val="0"/>
        <w:spacing w:line="360" w:lineRule="auto"/>
        <w:jc w:val="center"/>
        <w:rPr>
          <w:rFonts w:ascii="宋体" w:hAnsi="宋体" w:cs="宋体"/>
          <w:szCs w:val="21"/>
        </w:rPr>
      </w:pPr>
    </w:p>
    <w:p w14:paraId="0E03B6CF">
      <w:pPr>
        <w:snapToGrid w:val="0"/>
        <w:spacing w:line="360" w:lineRule="auto"/>
        <w:jc w:val="center"/>
        <w:rPr>
          <w:rFonts w:ascii="宋体" w:hAnsi="宋体" w:cs="宋体"/>
          <w:szCs w:val="21"/>
        </w:rPr>
      </w:pPr>
    </w:p>
    <w:p w14:paraId="3D1DD9A6">
      <w:pPr>
        <w:spacing w:line="600" w:lineRule="exact"/>
        <w:ind w:firstLine="840" w:firstLineChars="400"/>
        <w:rPr>
          <w:rFonts w:ascii="宋体" w:hAnsi="宋体"/>
          <w:szCs w:val="21"/>
        </w:rPr>
      </w:pPr>
      <w:r>
        <w:rPr>
          <w:rFonts w:hint="eastAsia" w:ascii="宋体" w:hAnsi="宋体"/>
          <w:szCs w:val="21"/>
        </w:rPr>
        <w:t>特此证明。</w:t>
      </w:r>
    </w:p>
    <w:p w14:paraId="6E8E7EC8">
      <w:pPr>
        <w:tabs>
          <w:tab w:val="left" w:pos="4000"/>
        </w:tabs>
        <w:snapToGrid w:val="0"/>
        <w:spacing w:line="360" w:lineRule="auto"/>
        <w:ind w:firstLine="3990" w:firstLineChars="1900"/>
        <w:rPr>
          <w:rFonts w:ascii="宋体" w:hAnsi="宋体"/>
          <w:szCs w:val="21"/>
        </w:rPr>
      </w:pPr>
      <w:r>
        <w:rPr>
          <w:rFonts w:hint="eastAsia" w:ascii="宋体" w:hAnsi="宋体"/>
          <w:szCs w:val="21"/>
        </w:rPr>
        <w:t>供应商(公章)：</w:t>
      </w:r>
    </w:p>
    <w:p w14:paraId="25152D44">
      <w:pPr>
        <w:tabs>
          <w:tab w:val="left" w:pos="4000"/>
        </w:tabs>
        <w:snapToGrid w:val="0"/>
        <w:spacing w:line="360" w:lineRule="auto"/>
        <w:rPr>
          <w:rFonts w:ascii="宋体" w:hAnsi="宋体"/>
          <w:szCs w:val="21"/>
        </w:rPr>
      </w:pPr>
      <w:r>
        <w:rPr>
          <w:rFonts w:hint="eastAsia" w:ascii="宋体" w:hAnsi="宋体"/>
          <w:szCs w:val="21"/>
        </w:rPr>
        <w:tab/>
      </w:r>
      <w:r>
        <w:rPr>
          <w:rFonts w:hint="eastAsia" w:ascii="宋体" w:hAnsi="宋体"/>
          <w:szCs w:val="21"/>
        </w:rPr>
        <w:t>供应商代表(签字或签章)：</w:t>
      </w:r>
    </w:p>
    <w:p w14:paraId="3292D9D3">
      <w:pPr>
        <w:tabs>
          <w:tab w:val="left" w:pos="4000"/>
        </w:tabs>
        <w:snapToGrid w:val="0"/>
        <w:spacing w:line="360" w:lineRule="auto"/>
        <w:rPr>
          <w:rFonts w:ascii="宋体" w:hAnsi="宋体"/>
          <w:szCs w:val="21"/>
        </w:rPr>
      </w:pPr>
      <w:r>
        <w:rPr>
          <w:rFonts w:hint="eastAsia" w:ascii="宋体" w:hAnsi="宋体"/>
          <w:szCs w:val="21"/>
        </w:rPr>
        <w:tab/>
      </w:r>
      <w:r>
        <w:rPr>
          <w:rFonts w:hint="eastAsia" w:ascii="宋体" w:hAnsi="宋体"/>
          <w:szCs w:val="21"/>
        </w:rPr>
        <w:t>日　期：</w:t>
      </w:r>
    </w:p>
    <w:p w14:paraId="4617ADF0">
      <w:pPr>
        <w:tabs>
          <w:tab w:val="left" w:pos="4000"/>
        </w:tabs>
        <w:snapToGrid w:val="0"/>
        <w:rPr>
          <w:rFonts w:ascii="宋体" w:hAnsi="宋体" w:cs="宋体"/>
          <w:b/>
          <w:bCs/>
          <w:szCs w:val="21"/>
        </w:rPr>
      </w:pPr>
    </w:p>
    <w:p w14:paraId="5F9C4E2F">
      <w:pPr>
        <w:tabs>
          <w:tab w:val="left" w:pos="4000"/>
        </w:tabs>
        <w:snapToGrid w:val="0"/>
        <w:rPr>
          <w:rFonts w:ascii="宋体" w:hAnsi="宋体" w:cs="宋体"/>
          <w:b/>
          <w:bCs/>
          <w:szCs w:val="21"/>
        </w:rPr>
      </w:pPr>
    </w:p>
    <w:p w14:paraId="468D572B">
      <w:pPr>
        <w:tabs>
          <w:tab w:val="left" w:pos="4000"/>
        </w:tabs>
        <w:snapToGrid w:val="0"/>
        <w:rPr>
          <w:rFonts w:ascii="宋体" w:hAnsi="宋体" w:cs="宋体"/>
          <w:b/>
          <w:bCs/>
          <w:szCs w:val="21"/>
        </w:rPr>
      </w:pPr>
    </w:p>
    <w:p w14:paraId="4AAF62A5">
      <w:pPr>
        <w:tabs>
          <w:tab w:val="left" w:pos="4000"/>
        </w:tabs>
        <w:snapToGrid w:val="0"/>
        <w:rPr>
          <w:rFonts w:ascii="宋体" w:hAnsi="宋体" w:cs="宋体"/>
          <w:b/>
          <w:bCs/>
          <w:szCs w:val="21"/>
        </w:rPr>
      </w:pPr>
    </w:p>
    <w:p w14:paraId="1DD0E27B">
      <w:pPr>
        <w:tabs>
          <w:tab w:val="left" w:pos="4000"/>
        </w:tabs>
        <w:snapToGrid w:val="0"/>
        <w:rPr>
          <w:rFonts w:ascii="宋体" w:hAnsi="宋体" w:cs="宋体"/>
          <w:b/>
          <w:bCs/>
          <w:szCs w:val="21"/>
        </w:rPr>
      </w:pPr>
    </w:p>
    <w:p w14:paraId="0CCA18A3">
      <w:pPr>
        <w:pStyle w:val="4"/>
        <w:spacing w:before="0" w:after="0" w:line="360" w:lineRule="auto"/>
        <w:jc w:val="center"/>
        <w:rPr>
          <w:rFonts w:ascii="宋体" w:hAnsi="宋体" w:eastAsia="宋体" w:cs="宋体"/>
        </w:rPr>
      </w:pPr>
      <w:bookmarkStart w:id="780" w:name="_Toc74125967"/>
      <w:bookmarkStart w:id="781" w:name="_Toc16939"/>
      <w:bookmarkStart w:id="782" w:name="_Toc69937242"/>
      <w:bookmarkStart w:id="783" w:name="_Toc11876"/>
      <w:bookmarkStart w:id="784" w:name="_Toc80884539"/>
      <w:bookmarkStart w:id="785" w:name="_Toc14149"/>
      <w:r>
        <w:rPr>
          <w:rFonts w:hint="eastAsia" w:ascii="宋体" w:hAnsi="宋体" w:eastAsia="宋体" w:cs="宋体"/>
        </w:rPr>
        <w:t>三、授权委托书</w:t>
      </w:r>
      <w:bookmarkEnd w:id="780"/>
      <w:bookmarkEnd w:id="781"/>
      <w:bookmarkEnd w:id="782"/>
      <w:bookmarkEnd w:id="783"/>
      <w:bookmarkEnd w:id="784"/>
      <w:bookmarkEnd w:id="785"/>
    </w:p>
    <w:p w14:paraId="7D694E9E">
      <w:pPr>
        <w:adjustRightInd w:val="0"/>
        <w:snapToGrid w:val="0"/>
        <w:spacing w:line="360" w:lineRule="auto"/>
        <w:ind w:firstLine="840" w:firstLineChars="400"/>
        <w:rPr>
          <w:rFonts w:ascii="宋体" w:hAnsi="宋体"/>
          <w:szCs w:val="21"/>
        </w:rPr>
      </w:pPr>
      <w:r>
        <w:rPr>
          <w:rFonts w:hint="eastAsia" w:ascii="宋体" w:hAnsi="宋体"/>
          <w:szCs w:val="21"/>
        </w:rPr>
        <w:t>本人</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szCs w:val="21"/>
        </w:rPr>
        <w:t>（供应商名称）的法定代表人，现委托</w:t>
      </w:r>
      <w:r>
        <w:rPr>
          <w:rFonts w:hint="eastAsia" w:ascii="宋体" w:hAnsi="宋体"/>
          <w:szCs w:val="21"/>
          <w:u w:val="single"/>
        </w:rPr>
        <w:t xml:space="preserve">      </w:t>
      </w:r>
      <w:r>
        <w:rPr>
          <w:rFonts w:hint="eastAsia" w:ascii="宋体" w:hAnsi="宋体"/>
          <w:szCs w:val="21"/>
        </w:rPr>
        <w:t>（姓名）为我方代理人。代理人根据授权，以我方名义签署、澄清、说明、补正、递交、撤回、修改</w:t>
      </w:r>
      <w:r>
        <w:rPr>
          <w:rFonts w:hint="eastAsia" w:ascii="宋体" w:hAnsi="宋体"/>
          <w:szCs w:val="21"/>
          <w:u w:val="single"/>
        </w:rPr>
        <w:t xml:space="preserve">      </w:t>
      </w:r>
      <w:r>
        <w:rPr>
          <w:rFonts w:hint="eastAsia" w:ascii="宋体" w:hAnsi="宋体"/>
          <w:szCs w:val="21"/>
        </w:rPr>
        <w:t>（项目名称）标段施工</w:t>
      </w:r>
      <w:r>
        <w:rPr>
          <w:rFonts w:hint="eastAsia" w:ascii="宋体" w:hAnsi="宋体"/>
          <w:szCs w:val="21"/>
          <w:lang w:eastAsia="zh-CN"/>
        </w:rPr>
        <w:t>响应文件</w:t>
      </w:r>
      <w:r>
        <w:rPr>
          <w:rFonts w:hint="eastAsia" w:ascii="宋体" w:hAnsi="宋体"/>
          <w:szCs w:val="21"/>
        </w:rPr>
        <w:t>、签订合同和处理有关事宜，其法律后果由我方承担。</w:t>
      </w:r>
    </w:p>
    <w:p w14:paraId="52E8C750">
      <w:pPr>
        <w:adjustRightInd w:val="0"/>
        <w:snapToGrid w:val="0"/>
        <w:spacing w:line="360" w:lineRule="auto"/>
        <w:rPr>
          <w:rFonts w:ascii="宋体" w:hAnsi="宋体"/>
          <w:szCs w:val="21"/>
          <w:u w:val="single"/>
        </w:rPr>
      </w:pPr>
      <w:r>
        <w:rPr>
          <w:rFonts w:hint="eastAsia" w:ascii="宋体" w:hAnsi="宋体"/>
          <w:szCs w:val="21"/>
        </w:rPr>
        <w:t xml:space="preserve">        委托期限：</w:t>
      </w:r>
      <w:r>
        <w:rPr>
          <w:rFonts w:hint="eastAsia" w:ascii="宋体" w:hAnsi="宋体"/>
          <w:szCs w:val="21"/>
          <w:u w:val="single"/>
        </w:rPr>
        <w:t xml:space="preserve">                   </w:t>
      </w:r>
    </w:p>
    <w:p w14:paraId="1F30D220">
      <w:pPr>
        <w:adjustRightInd w:val="0"/>
        <w:snapToGrid w:val="0"/>
        <w:spacing w:line="360" w:lineRule="auto"/>
        <w:rPr>
          <w:rFonts w:ascii="宋体" w:hAnsi="宋体"/>
          <w:szCs w:val="21"/>
        </w:rPr>
      </w:pPr>
      <w:r>
        <w:rPr>
          <w:rFonts w:hint="eastAsia" w:ascii="宋体" w:hAnsi="宋体"/>
          <w:szCs w:val="21"/>
        </w:rPr>
        <w:t xml:space="preserve">        代理人无转委托权</w:t>
      </w:r>
    </w:p>
    <w:p w14:paraId="473E5977">
      <w:pPr>
        <w:adjustRightInd w:val="0"/>
        <w:snapToGrid w:val="0"/>
        <w:spacing w:line="360" w:lineRule="auto"/>
        <w:ind w:firstLine="840" w:firstLineChars="400"/>
        <w:rPr>
          <w:rFonts w:ascii="宋体" w:hAnsi="宋体"/>
          <w:szCs w:val="21"/>
        </w:rPr>
      </w:pPr>
      <w:r>
        <mc:AlternateContent>
          <mc:Choice Requires="wps">
            <w:drawing>
              <wp:anchor distT="0" distB="0" distL="0" distR="0" simplePos="0" relativeHeight="251659264" behindDoc="0" locked="0" layoutInCell="1" allowOverlap="1">
                <wp:simplePos x="0" y="0"/>
                <wp:positionH relativeFrom="column">
                  <wp:posOffset>2839085</wp:posOffset>
                </wp:positionH>
                <wp:positionV relativeFrom="paragraph">
                  <wp:posOffset>255905</wp:posOffset>
                </wp:positionV>
                <wp:extent cx="2813685" cy="1583690"/>
                <wp:effectExtent l="4445" t="4445" r="20320" b="12065"/>
                <wp:wrapNone/>
                <wp:docPr id="1045" name="文本框 8"/>
                <wp:cNvGraphicFramePr/>
                <a:graphic xmlns:a="http://schemas.openxmlformats.org/drawingml/2006/main">
                  <a:graphicData uri="http://schemas.microsoft.com/office/word/2010/wordprocessingShape">
                    <wps:wsp>
                      <wps:cNvSpPr/>
                      <wps:spPr>
                        <a:xfrm>
                          <a:off x="0" y="0"/>
                          <a:ext cx="2813684" cy="1583690"/>
                        </a:xfrm>
                        <a:prstGeom prst="rect">
                          <a:avLst/>
                        </a:prstGeom>
                        <a:solidFill>
                          <a:srgbClr val="FFFFFF"/>
                        </a:solidFill>
                        <a:ln w="3175" cap="flat" cmpd="sng">
                          <a:solidFill>
                            <a:srgbClr val="000000"/>
                          </a:solidFill>
                          <a:prstDash val="solid"/>
                          <a:miter/>
                          <a:headEnd type="none" w="med" len="med"/>
                          <a:tailEnd type="none" w="med" len="med"/>
                        </a:ln>
                      </wps:spPr>
                      <wps:txbx>
                        <w:txbxContent>
                          <w:p w14:paraId="306B603C">
                            <w:pPr>
                              <w:jc w:val="center"/>
                              <w:rPr>
                                <w:sz w:val="24"/>
                              </w:rPr>
                            </w:pPr>
                          </w:p>
                          <w:p w14:paraId="21AC5CA2">
                            <w:pPr>
                              <w:jc w:val="center"/>
                              <w:rPr>
                                <w:sz w:val="24"/>
                              </w:rPr>
                            </w:pPr>
                          </w:p>
                          <w:p w14:paraId="747CCF49">
                            <w:pPr>
                              <w:jc w:val="center"/>
                              <w:rPr>
                                <w:sz w:val="24"/>
                              </w:rPr>
                            </w:pPr>
                          </w:p>
                          <w:p w14:paraId="0C427224">
                            <w:pPr>
                              <w:rPr>
                                <w:sz w:val="24"/>
                              </w:rPr>
                            </w:pPr>
                          </w:p>
                          <w:p w14:paraId="56F7C68D">
                            <w:pPr>
                              <w:snapToGrid w:val="0"/>
                              <w:spacing w:line="360" w:lineRule="auto"/>
                              <w:jc w:val="center"/>
                              <w:rPr>
                                <w:rFonts w:ascii="宋体" w:hAnsi="宋体" w:cs="宋体"/>
                                <w:szCs w:val="21"/>
                              </w:rPr>
                            </w:pPr>
                            <w:r>
                              <w:rPr>
                                <w:rFonts w:hint="eastAsia" w:ascii="宋体" w:hAnsi="宋体" w:cs="宋体"/>
                                <w:szCs w:val="21"/>
                              </w:rPr>
                              <w:t>法定代表人身份证复印件</w:t>
                            </w:r>
                          </w:p>
                          <w:p w14:paraId="7AE491A8">
                            <w:pPr>
                              <w:snapToGrid w:val="0"/>
                              <w:spacing w:line="360" w:lineRule="auto"/>
                              <w:jc w:val="center"/>
                              <w:rPr>
                                <w:rFonts w:ascii="宋体" w:hAnsi="宋体" w:cs="宋体"/>
                                <w:szCs w:val="21"/>
                              </w:rPr>
                            </w:pPr>
                            <w:r>
                              <w:rPr>
                                <w:rFonts w:hint="eastAsia" w:ascii="宋体" w:hAnsi="宋体" w:cs="宋体"/>
                                <w:szCs w:val="21"/>
                              </w:rPr>
                              <w:t>（背面）</w:t>
                            </w:r>
                          </w:p>
                          <w:p w14:paraId="2A86EC0B">
                            <w:pPr>
                              <w:rPr>
                                <w:sz w:val="24"/>
                              </w:rPr>
                            </w:pPr>
                          </w:p>
                        </w:txbxContent>
                      </wps:txbx>
                      <wps:bodyPr upright="1"/>
                    </wps:wsp>
                  </a:graphicData>
                </a:graphic>
              </wp:anchor>
            </w:drawing>
          </mc:Choice>
          <mc:Fallback>
            <w:pict>
              <v:rect id="文本框 8" o:spid="_x0000_s1026" o:spt="1" style="position:absolute;left:0pt;margin-left:223.55pt;margin-top:20.15pt;height:124.7pt;width:221.55pt;z-index:251659264;mso-width-relative:page;mso-height-relative:page;" fillcolor="#FFFFFF" filled="t" stroked="t" coordsize="21600,21600" o:gfxdata="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yFY/O2AAAAAoBAAAPAAAAAAAAAAEAIAAA&#10;ACIAAABkcnMvZG93bnJldi54bWxQSwECFAAUAAAACACHTuJAqQH5SwwCAAAwBAAADgAAAAAAAAAB&#10;ACAAAAAnAQAAZHJzL2Uyb0RvYy54bWxQSwUGAAAAAAYABgBZAQAApQUAAAAA&#10;">
                <v:fill on="t" focussize="0,0"/>
                <v:stroke weight="0.25pt" color="#000000" joinstyle="miter"/>
                <v:imagedata o:title=""/>
                <o:lock v:ext="edit" aspectratio="f"/>
                <v:textbox>
                  <w:txbxContent>
                    <w:p w14:paraId="306B603C">
                      <w:pPr>
                        <w:jc w:val="center"/>
                        <w:rPr>
                          <w:sz w:val="24"/>
                        </w:rPr>
                      </w:pPr>
                    </w:p>
                    <w:p w14:paraId="21AC5CA2">
                      <w:pPr>
                        <w:jc w:val="center"/>
                        <w:rPr>
                          <w:sz w:val="24"/>
                        </w:rPr>
                      </w:pPr>
                    </w:p>
                    <w:p w14:paraId="747CCF49">
                      <w:pPr>
                        <w:jc w:val="center"/>
                        <w:rPr>
                          <w:sz w:val="24"/>
                        </w:rPr>
                      </w:pPr>
                    </w:p>
                    <w:p w14:paraId="0C427224">
                      <w:pPr>
                        <w:rPr>
                          <w:sz w:val="24"/>
                        </w:rPr>
                      </w:pPr>
                    </w:p>
                    <w:p w14:paraId="56F7C68D">
                      <w:pPr>
                        <w:snapToGrid w:val="0"/>
                        <w:spacing w:line="360" w:lineRule="auto"/>
                        <w:jc w:val="center"/>
                        <w:rPr>
                          <w:rFonts w:ascii="宋体" w:hAnsi="宋体" w:cs="宋体"/>
                          <w:szCs w:val="21"/>
                        </w:rPr>
                      </w:pPr>
                      <w:r>
                        <w:rPr>
                          <w:rFonts w:hint="eastAsia" w:ascii="宋体" w:hAnsi="宋体" w:cs="宋体"/>
                          <w:szCs w:val="21"/>
                        </w:rPr>
                        <w:t>法定代表人身份证复印件</w:t>
                      </w:r>
                    </w:p>
                    <w:p w14:paraId="7AE491A8">
                      <w:pPr>
                        <w:snapToGrid w:val="0"/>
                        <w:spacing w:line="360" w:lineRule="auto"/>
                        <w:jc w:val="center"/>
                        <w:rPr>
                          <w:rFonts w:ascii="宋体" w:hAnsi="宋体" w:cs="宋体"/>
                          <w:szCs w:val="21"/>
                        </w:rPr>
                      </w:pPr>
                      <w:r>
                        <w:rPr>
                          <w:rFonts w:hint="eastAsia" w:ascii="宋体" w:hAnsi="宋体" w:cs="宋体"/>
                          <w:szCs w:val="21"/>
                        </w:rPr>
                        <w:t>（背面）</w:t>
                      </w:r>
                    </w:p>
                    <w:p w14:paraId="2A86EC0B">
                      <w:pPr>
                        <w:rPr>
                          <w:sz w:val="24"/>
                        </w:rPr>
                      </w:pP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-3810</wp:posOffset>
                </wp:positionH>
                <wp:positionV relativeFrom="paragraph">
                  <wp:posOffset>247650</wp:posOffset>
                </wp:positionV>
                <wp:extent cx="2813685" cy="1583690"/>
                <wp:effectExtent l="4445" t="4445" r="20320" b="12065"/>
                <wp:wrapNone/>
                <wp:docPr id="1046" name="文本框 9"/>
                <wp:cNvGraphicFramePr/>
                <a:graphic xmlns:a="http://schemas.openxmlformats.org/drawingml/2006/main">
                  <a:graphicData uri="http://schemas.microsoft.com/office/word/2010/wordprocessingShape">
                    <wps:wsp>
                      <wps:cNvSpPr/>
                      <wps:spPr>
                        <a:xfrm>
                          <a:off x="0" y="0"/>
                          <a:ext cx="2813685" cy="1583690"/>
                        </a:xfrm>
                        <a:prstGeom prst="rect">
                          <a:avLst/>
                        </a:prstGeom>
                        <a:solidFill>
                          <a:srgbClr val="FFFFFF"/>
                        </a:solidFill>
                        <a:ln w="3175" cap="flat" cmpd="sng">
                          <a:solidFill>
                            <a:srgbClr val="000000"/>
                          </a:solidFill>
                          <a:prstDash val="solid"/>
                          <a:miter/>
                          <a:headEnd type="none" w="med" len="med"/>
                          <a:tailEnd type="none" w="med" len="med"/>
                        </a:ln>
                      </wps:spPr>
                      <wps:txbx>
                        <w:txbxContent>
                          <w:p w14:paraId="00888591">
                            <w:pPr>
                              <w:rPr>
                                <w:sz w:val="24"/>
                              </w:rPr>
                            </w:pPr>
                          </w:p>
                          <w:p w14:paraId="62AD7966">
                            <w:pPr>
                              <w:rPr>
                                <w:sz w:val="24"/>
                              </w:rPr>
                            </w:pPr>
                          </w:p>
                          <w:p w14:paraId="019CBE19">
                            <w:pPr>
                              <w:rPr>
                                <w:sz w:val="24"/>
                              </w:rPr>
                            </w:pPr>
                          </w:p>
                          <w:p w14:paraId="62A70F7F">
                            <w:pPr>
                              <w:rPr>
                                <w:sz w:val="24"/>
                              </w:rPr>
                            </w:pPr>
                          </w:p>
                          <w:p w14:paraId="1CF534D1">
                            <w:pPr>
                              <w:snapToGrid w:val="0"/>
                              <w:spacing w:line="360" w:lineRule="auto"/>
                              <w:jc w:val="center"/>
                              <w:rPr>
                                <w:rFonts w:ascii="宋体" w:hAnsi="宋体" w:cs="宋体"/>
                                <w:szCs w:val="21"/>
                              </w:rPr>
                            </w:pPr>
                            <w:r>
                              <w:rPr>
                                <w:rFonts w:hint="eastAsia" w:ascii="宋体" w:hAnsi="宋体" w:cs="宋体"/>
                                <w:szCs w:val="21"/>
                              </w:rPr>
                              <w:t>法定代表人身份证复印件</w:t>
                            </w:r>
                          </w:p>
                          <w:p w14:paraId="53FDD884">
                            <w:pPr>
                              <w:snapToGrid w:val="0"/>
                              <w:spacing w:line="360" w:lineRule="auto"/>
                              <w:jc w:val="center"/>
                              <w:rPr>
                                <w:rFonts w:ascii="宋体" w:hAnsi="宋体" w:cs="宋体"/>
                                <w:szCs w:val="21"/>
                              </w:rPr>
                            </w:pPr>
                            <w:r>
                              <w:rPr>
                                <w:rFonts w:hint="eastAsia" w:ascii="宋体" w:hAnsi="宋体" w:cs="宋体"/>
                                <w:szCs w:val="21"/>
                              </w:rPr>
                              <w:t>（正面）</w:t>
                            </w:r>
                          </w:p>
                          <w:p w14:paraId="4C56EB9E">
                            <w:pPr>
                              <w:rPr>
                                <w:sz w:val="24"/>
                              </w:rPr>
                            </w:pPr>
                          </w:p>
                          <w:p w14:paraId="107698B7">
                            <w:pPr>
                              <w:rPr>
                                <w:sz w:val="24"/>
                              </w:rPr>
                            </w:pPr>
                          </w:p>
                          <w:p w14:paraId="6EF95465">
                            <w:pPr>
                              <w:rPr>
                                <w:sz w:val="24"/>
                              </w:rPr>
                            </w:pPr>
                          </w:p>
                        </w:txbxContent>
                      </wps:txbx>
                      <wps:bodyPr upright="1"/>
                    </wps:wsp>
                  </a:graphicData>
                </a:graphic>
              </wp:anchor>
            </w:drawing>
          </mc:Choice>
          <mc:Fallback>
            <w:pict>
              <v:rect id="文本框 9" o:spid="_x0000_s1026" o:spt="1" style="position:absolute;left:0pt;margin-left:-0.3pt;margin-top:19.5pt;height:124.7pt;width:221.55pt;z-index:251659264;mso-width-relative:page;mso-height-relative:page;" fillcolor="#FFFFFF" filled="t" stroked="t" coordsize="21600,21600" o:gfxdata="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eRnHs1gAAAAgBAAAPAAAAAAAAAAEAIAAAACIA&#10;AABkcnMvZG93bnJldi54bWxQSwECFAAUAAAACACHTuJAO92Q5QsCAAAwBAAADgAAAAAAAAABACAA&#10;AAAlAQAAZHJzL2Uyb0RvYy54bWxQSwUGAAAAAAYABgBZAQAAogUAAAAA&#10;">
                <v:fill on="t" focussize="0,0"/>
                <v:stroke weight="0.25pt" color="#000000" joinstyle="miter"/>
                <v:imagedata o:title=""/>
                <o:lock v:ext="edit" aspectratio="f"/>
                <v:textbox>
                  <w:txbxContent>
                    <w:p w14:paraId="00888591">
                      <w:pPr>
                        <w:rPr>
                          <w:sz w:val="24"/>
                        </w:rPr>
                      </w:pPr>
                    </w:p>
                    <w:p w14:paraId="62AD7966">
                      <w:pPr>
                        <w:rPr>
                          <w:sz w:val="24"/>
                        </w:rPr>
                      </w:pPr>
                    </w:p>
                    <w:p w14:paraId="019CBE19">
                      <w:pPr>
                        <w:rPr>
                          <w:sz w:val="24"/>
                        </w:rPr>
                      </w:pPr>
                    </w:p>
                    <w:p w14:paraId="62A70F7F">
                      <w:pPr>
                        <w:rPr>
                          <w:sz w:val="24"/>
                        </w:rPr>
                      </w:pPr>
                    </w:p>
                    <w:p w14:paraId="1CF534D1">
                      <w:pPr>
                        <w:snapToGrid w:val="0"/>
                        <w:spacing w:line="360" w:lineRule="auto"/>
                        <w:jc w:val="center"/>
                        <w:rPr>
                          <w:rFonts w:ascii="宋体" w:hAnsi="宋体" w:cs="宋体"/>
                          <w:szCs w:val="21"/>
                        </w:rPr>
                      </w:pPr>
                      <w:r>
                        <w:rPr>
                          <w:rFonts w:hint="eastAsia" w:ascii="宋体" w:hAnsi="宋体" w:cs="宋体"/>
                          <w:szCs w:val="21"/>
                        </w:rPr>
                        <w:t>法定代表人身份证复印件</w:t>
                      </w:r>
                    </w:p>
                    <w:p w14:paraId="53FDD884">
                      <w:pPr>
                        <w:snapToGrid w:val="0"/>
                        <w:spacing w:line="360" w:lineRule="auto"/>
                        <w:jc w:val="center"/>
                        <w:rPr>
                          <w:rFonts w:ascii="宋体" w:hAnsi="宋体" w:cs="宋体"/>
                          <w:szCs w:val="21"/>
                        </w:rPr>
                      </w:pPr>
                      <w:r>
                        <w:rPr>
                          <w:rFonts w:hint="eastAsia" w:ascii="宋体" w:hAnsi="宋体" w:cs="宋体"/>
                          <w:szCs w:val="21"/>
                        </w:rPr>
                        <w:t>（正面）</w:t>
                      </w:r>
                    </w:p>
                    <w:p w14:paraId="4C56EB9E">
                      <w:pPr>
                        <w:rPr>
                          <w:sz w:val="24"/>
                        </w:rPr>
                      </w:pPr>
                    </w:p>
                    <w:p w14:paraId="107698B7">
                      <w:pPr>
                        <w:rPr>
                          <w:sz w:val="24"/>
                        </w:rPr>
                      </w:pPr>
                    </w:p>
                    <w:p w14:paraId="6EF95465">
                      <w:pPr>
                        <w:rPr>
                          <w:sz w:val="24"/>
                        </w:rPr>
                      </w:pPr>
                    </w:p>
                  </w:txbxContent>
                </v:textbox>
              </v:rect>
            </w:pict>
          </mc:Fallback>
        </mc:AlternateContent>
      </w:r>
      <w:r>
        <w:rPr>
          <w:rFonts w:hint="eastAsia" w:ascii="宋体" w:hAnsi="宋体"/>
          <w:szCs w:val="21"/>
        </w:rPr>
        <w:t>附：法定代表人身份证明</w:t>
      </w:r>
    </w:p>
    <w:p w14:paraId="7F83C5F6">
      <w:pPr>
        <w:snapToGrid w:val="0"/>
        <w:spacing w:line="360" w:lineRule="auto"/>
        <w:jc w:val="center"/>
        <w:rPr>
          <w:rFonts w:ascii="宋体" w:hAnsi="宋体" w:cs="宋体"/>
          <w:szCs w:val="21"/>
        </w:rPr>
      </w:pPr>
    </w:p>
    <w:p w14:paraId="785BE4CE">
      <w:pPr>
        <w:snapToGrid w:val="0"/>
        <w:spacing w:line="360" w:lineRule="auto"/>
        <w:jc w:val="center"/>
        <w:rPr>
          <w:rFonts w:ascii="宋体" w:hAnsi="宋体" w:cs="宋体"/>
          <w:szCs w:val="21"/>
        </w:rPr>
      </w:pPr>
    </w:p>
    <w:p w14:paraId="6FBF2790">
      <w:pPr>
        <w:snapToGrid w:val="0"/>
        <w:spacing w:line="360" w:lineRule="auto"/>
        <w:jc w:val="center"/>
        <w:rPr>
          <w:rFonts w:ascii="宋体" w:hAnsi="宋体" w:cs="宋体"/>
          <w:szCs w:val="21"/>
        </w:rPr>
      </w:pPr>
    </w:p>
    <w:p w14:paraId="086D2EBD">
      <w:pPr>
        <w:snapToGrid w:val="0"/>
        <w:spacing w:line="360" w:lineRule="auto"/>
        <w:jc w:val="center"/>
        <w:rPr>
          <w:rFonts w:ascii="宋体" w:hAnsi="宋体" w:cs="宋体"/>
          <w:szCs w:val="21"/>
        </w:rPr>
      </w:pPr>
    </w:p>
    <w:p w14:paraId="475BEBA4">
      <w:pPr>
        <w:snapToGrid w:val="0"/>
        <w:spacing w:line="360" w:lineRule="auto"/>
        <w:jc w:val="center"/>
        <w:rPr>
          <w:rFonts w:ascii="宋体" w:hAnsi="宋体" w:cs="宋体"/>
          <w:szCs w:val="21"/>
        </w:rPr>
      </w:pPr>
    </w:p>
    <w:p w14:paraId="7080AC9C">
      <w:pPr>
        <w:snapToGrid w:val="0"/>
        <w:spacing w:line="360" w:lineRule="auto"/>
        <w:jc w:val="center"/>
        <w:rPr>
          <w:rFonts w:ascii="宋体" w:hAnsi="宋体" w:cs="宋体"/>
          <w:szCs w:val="21"/>
        </w:rPr>
      </w:pPr>
    </w:p>
    <w:p w14:paraId="3A2AD27C">
      <w:pPr>
        <w:snapToGrid w:val="0"/>
        <w:spacing w:line="360" w:lineRule="auto"/>
        <w:jc w:val="center"/>
        <w:rPr>
          <w:rFonts w:ascii="宋体" w:hAnsi="宋体" w:cs="宋体"/>
          <w:szCs w:val="21"/>
        </w:rPr>
      </w:pPr>
      <w:r>
        <mc:AlternateContent>
          <mc:Choice Requires="wps">
            <w:drawing>
              <wp:anchor distT="0" distB="0" distL="0" distR="0" simplePos="0" relativeHeight="251659264" behindDoc="0" locked="0" layoutInCell="1" allowOverlap="1">
                <wp:simplePos x="0" y="0"/>
                <wp:positionH relativeFrom="column">
                  <wp:posOffset>2828925</wp:posOffset>
                </wp:positionH>
                <wp:positionV relativeFrom="paragraph">
                  <wp:posOffset>113665</wp:posOffset>
                </wp:positionV>
                <wp:extent cx="2813685" cy="1508760"/>
                <wp:effectExtent l="4445" t="4445" r="20320" b="10795"/>
                <wp:wrapNone/>
                <wp:docPr id="1047" name="文本框 10"/>
                <wp:cNvGraphicFramePr/>
                <a:graphic xmlns:a="http://schemas.openxmlformats.org/drawingml/2006/main">
                  <a:graphicData uri="http://schemas.microsoft.com/office/word/2010/wordprocessingShape">
                    <wps:wsp>
                      <wps:cNvSpPr/>
                      <wps:spPr>
                        <a:xfrm>
                          <a:off x="0" y="0"/>
                          <a:ext cx="2813684" cy="1508760"/>
                        </a:xfrm>
                        <a:prstGeom prst="rect">
                          <a:avLst/>
                        </a:prstGeom>
                        <a:solidFill>
                          <a:srgbClr val="FFFFFF"/>
                        </a:solidFill>
                        <a:ln w="3175" cap="flat" cmpd="sng">
                          <a:solidFill>
                            <a:srgbClr val="000000"/>
                          </a:solidFill>
                          <a:prstDash val="solid"/>
                          <a:miter/>
                          <a:headEnd type="none" w="med" len="med"/>
                          <a:tailEnd type="none" w="med" len="med"/>
                        </a:ln>
                      </wps:spPr>
                      <wps:txbx>
                        <w:txbxContent>
                          <w:p w14:paraId="5C307CF3">
                            <w:pPr>
                              <w:jc w:val="center"/>
                              <w:rPr>
                                <w:sz w:val="24"/>
                              </w:rPr>
                            </w:pPr>
                          </w:p>
                          <w:p w14:paraId="1DC26804">
                            <w:pPr>
                              <w:jc w:val="center"/>
                              <w:rPr>
                                <w:sz w:val="24"/>
                              </w:rPr>
                            </w:pPr>
                          </w:p>
                          <w:p w14:paraId="5FE95580">
                            <w:pPr>
                              <w:jc w:val="center"/>
                              <w:rPr>
                                <w:sz w:val="24"/>
                              </w:rPr>
                            </w:pPr>
                          </w:p>
                          <w:p w14:paraId="6FE10B2D">
                            <w:pPr>
                              <w:rPr>
                                <w:sz w:val="24"/>
                              </w:rPr>
                            </w:pPr>
                          </w:p>
                          <w:p w14:paraId="73EF355F">
                            <w:pPr>
                              <w:snapToGrid w:val="0"/>
                              <w:spacing w:line="360" w:lineRule="auto"/>
                              <w:jc w:val="center"/>
                              <w:rPr>
                                <w:rFonts w:ascii="宋体" w:hAnsi="宋体" w:cs="宋体"/>
                                <w:szCs w:val="21"/>
                              </w:rPr>
                            </w:pPr>
                            <w:r>
                              <w:rPr>
                                <w:rFonts w:hint="eastAsia" w:ascii="宋体" w:hAnsi="宋体" w:cs="宋体"/>
                                <w:szCs w:val="21"/>
                              </w:rPr>
                              <w:t>授权委托人身份证复印件</w:t>
                            </w:r>
                          </w:p>
                          <w:p w14:paraId="3023E20C">
                            <w:pPr>
                              <w:snapToGrid w:val="0"/>
                              <w:spacing w:line="360" w:lineRule="auto"/>
                              <w:jc w:val="center"/>
                              <w:rPr>
                                <w:rFonts w:ascii="宋体" w:hAnsi="宋体" w:cs="宋体"/>
                                <w:szCs w:val="21"/>
                              </w:rPr>
                            </w:pPr>
                            <w:r>
                              <w:rPr>
                                <w:rFonts w:hint="eastAsia" w:ascii="宋体" w:hAnsi="宋体" w:cs="宋体"/>
                                <w:szCs w:val="21"/>
                              </w:rPr>
                              <w:t>（背面）</w:t>
                            </w:r>
                          </w:p>
                          <w:p w14:paraId="2E56F74F">
                            <w:pPr>
                              <w:rPr>
                                <w:sz w:val="24"/>
                              </w:rPr>
                            </w:pPr>
                          </w:p>
                        </w:txbxContent>
                      </wps:txbx>
                      <wps:bodyPr upright="1"/>
                    </wps:wsp>
                  </a:graphicData>
                </a:graphic>
              </wp:anchor>
            </w:drawing>
          </mc:Choice>
          <mc:Fallback>
            <w:pict>
              <v:rect id="文本框 10" o:spid="_x0000_s1026" o:spt="1" style="position:absolute;left:0pt;margin-left:222.75pt;margin-top:8.95pt;height:118.8pt;width:221.55pt;z-index:251659264;mso-width-relative:page;mso-height-relative:page;" fillcolor="#FFFFFF" filled="t" stroked="t" coordsize="21600,21600" o:gfxdata="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RtVz21gAAAAoBAAAPAAAAAAAAAAEAIAAAACIA&#10;AABkcnMvZG93bnJldi54bWxQSwECFAAUAAAACACHTuJAxT3jqAsCAAAxBAAADgAAAAAAAAABACAA&#10;AAAlAQAAZHJzL2Uyb0RvYy54bWxQSwUGAAAAAAYABgBZAQAAogUAAAAA&#10;">
                <v:fill on="t" focussize="0,0"/>
                <v:stroke weight="0.25pt" color="#000000" joinstyle="miter"/>
                <v:imagedata o:title=""/>
                <o:lock v:ext="edit" aspectratio="f"/>
                <v:textbox>
                  <w:txbxContent>
                    <w:p w14:paraId="5C307CF3">
                      <w:pPr>
                        <w:jc w:val="center"/>
                        <w:rPr>
                          <w:sz w:val="24"/>
                        </w:rPr>
                      </w:pPr>
                    </w:p>
                    <w:p w14:paraId="1DC26804">
                      <w:pPr>
                        <w:jc w:val="center"/>
                        <w:rPr>
                          <w:sz w:val="24"/>
                        </w:rPr>
                      </w:pPr>
                    </w:p>
                    <w:p w14:paraId="5FE95580">
                      <w:pPr>
                        <w:jc w:val="center"/>
                        <w:rPr>
                          <w:sz w:val="24"/>
                        </w:rPr>
                      </w:pPr>
                    </w:p>
                    <w:p w14:paraId="6FE10B2D">
                      <w:pPr>
                        <w:rPr>
                          <w:sz w:val="24"/>
                        </w:rPr>
                      </w:pPr>
                    </w:p>
                    <w:p w14:paraId="73EF355F">
                      <w:pPr>
                        <w:snapToGrid w:val="0"/>
                        <w:spacing w:line="360" w:lineRule="auto"/>
                        <w:jc w:val="center"/>
                        <w:rPr>
                          <w:rFonts w:ascii="宋体" w:hAnsi="宋体" w:cs="宋体"/>
                          <w:szCs w:val="21"/>
                        </w:rPr>
                      </w:pPr>
                      <w:r>
                        <w:rPr>
                          <w:rFonts w:hint="eastAsia" w:ascii="宋体" w:hAnsi="宋体" w:cs="宋体"/>
                          <w:szCs w:val="21"/>
                        </w:rPr>
                        <w:t>授权委托人身份证复印件</w:t>
                      </w:r>
                    </w:p>
                    <w:p w14:paraId="3023E20C">
                      <w:pPr>
                        <w:snapToGrid w:val="0"/>
                        <w:spacing w:line="360" w:lineRule="auto"/>
                        <w:jc w:val="center"/>
                        <w:rPr>
                          <w:rFonts w:ascii="宋体" w:hAnsi="宋体" w:cs="宋体"/>
                          <w:szCs w:val="21"/>
                        </w:rPr>
                      </w:pPr>
                      <w:r>
                        <w:rPr>
                          <w:rFonts w:hint="eastAsia" w:ascii="宋体" w:hAnsi="宋体" w:cs="宋体"/>
                          <w:szCs w:val="21"/>
                        </w:rPr>
                        <w:t>（背面）</w:t>
                      </w:r>
                    </w:p>
                    <w:p w14:paraId="2E56F74F">
                      <w:pPr>
                        <w:rPr>
                          <w:sz w:val="24"/>
                        </w:rPr>
                      </w:pP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column">
                  <wp:posOffset>-13970</wp:posOffset>
                </wp:positionH>
                <wp:positionV relativeFrom="paragraph">
                  <wp:posOffset>106045</wp:posOffset>
                </wp:positionV>
                <wp:extent cx="2813685" cy="1530350"/>
                <wp:effectExtent l="4445" t="4445" r="20320" b="8255"/>
                <wp:wrapNone/>
                <wp:docPr id="1048" name="文本框 11"/>
                <wp:cNvGraphicFramePr/>
                <a:graphic xmlns:a="http://schemas.openxmlformats.org/drawingml/2006/main">
                  <a:graphicData uri="http://schemas.microsoft.com/office/word/2010/wordprocessingShape">
                    <wps:wsp>
                      <wps:cNvSpPr/>
                      <wps:spPr>
                        <a:xfrm>
                          <a:off x="0" y="0"/>
                          <a:ext cx="2813685" cy="1530350"/>
                        </a:xfrm>
                        <a:prstGeom prst="rect">
                          <a:avLst/>
                        </a:prstGeom>
                        <a:solidFill>
                          <a:srgbClr val="FFFFFF"/>
                        </a:solidFill>
                        <a:ln w="3175" cap="flat" cmpd="sng">
                          <a:solidFill>
                            <a:srgbClr val="000000"/>
                          </a:solidFill>
                          <a:prstDash val="solid"/>
                          <a:miter/>
                          <a:headEnd type="none" w="med" len="med"/>
                          <a:tailEnd type="none" w="med" len="med"/>
                        </a:ln>
                      </wps:spPr>
                      <wps:txbx>
                        <w:txbxContent>
                          <w:p w14:paraId="6FA3B340">
                            <w:pPr>
                              <w:rPr>
                                <w:sz w:val="24"/>
                              </w:rPr>
                            </w:pPr>
                          </w:p>
                          <w:p w14:paraId="150666E9">
                            <w:pPr>
                              <w:rPr>
                                <w:sz w:val="24"/>
                              </w:rPr>
                            </w:pPr>
                          </w:p>
                          <w:p w14:paraId="18998DA4">
                            <w:pPr>
                              <w:rPr>
                                <w:sz w:val="24"/>
                              </w:rPr>
                            </w:pPr>
                          </w:p>
                          <w:p w14:paraId="35A5D522">
                            <w:pPr>
                              <w:rPr>
                                <w:sz w:val="24"/>
                              </w:rPr>
                            </w:pPr>
                          </w:p>
                          <w:p w14:paraId="0507BB3F">
                            <w:pPr>
                              <w:snapToGrid w:val="0"/>
                              <w:spacing w:line="360" w:lineRule="auto"/>
                              <w:jc w:val="center"/>
                              <w:rPr>
                                <w:rFonts w:ascii="宋体" w:hAnsi="宋体" w:cs="宋体"/>
                                <w:szCs w:val="21"/>
                              </w:rPr>
                            </w:pPr>
                            <w:r>
                              <w:rPr>
                                <w:rFonts w:hint="eastAsia" w:ascii="宋体" w:hAnsi="宋体" w:cs="宋体"/>
                                <w:szCs w:val="21"/>
                              </w:rPr>
                              <w:t>授权委托人身份证复印件</w:t>
                            </w:r>
                          </w:p>
                          <w:p w14:paraId="4B65DB9A">
                            <w:pPr>
                              <w:snapToGrid w:val="0"/>
                              <w:spacing w:line="360" w:lineRule="auto"/>
                              <w:jc w:val="center"/>
                              <w:rPr>
                                <w:rFonts w:ascii="宋体" w:hAnsi="宋体" w:cs="宋体"/>
                                <w:szCs w:val="21"/>
                              </w:rPr>
                            </w:pPr>
                            <w:r>
                              <w:rPr>
                                <w:rFonts w:hint="eastAsia" w:ascii="宋体" w:hAnsi="宋体" w:cs="宋体"/>
                                <w:szCs w:val="21"/>
                              </w:rPr>
                              <w:t>（正面）</w:t>
                            </w:r>
                          </w:p>
                          <w:p w14:paraId="09FBA1B2">
                            <w:pPr>
                              <w:rPr>
                                <w:sz w:val="24"/>
                              </w:rPr>
                            </w:pPr>
                          </w:p>
                          <w:p w14:paraId="3BFA7F39">
                            <w:pPr>
                              <w:rPr>
                                <w:sz w:val="24"/>
                              </w:rPr>
                            </w:pPr>
                          </w:p>
                          <w:p w14:paraId="11367CC6">
                            <w:pPr>
                              <w:rPr>
                                <w:sz w:val="24"/>
                              </w:rPr>
                            </w:pPr>
                          </w:p>
                        </w:txbxContent>
                      </wps:txbx>
                      <wps:bodyPr upright="1"/>
                    </wps:wsp>
                  </a:graphicData>
                </a:graphic>
              </wp:anchor>
            </w:drawing>
          </mc:Choice>
          <mc:Fallback>
            <w:pict>
              <v:rect id="文本框 11" o:spid="_x0000_s1026" o:spt="1" style="position:absolute;left:0pt;margin-left:-1.1pt;margin-top:8.35pt;height:120.5pt;width:221.55pt;z-index:251659264;mso-width-relative:page;mso-height-relative:page;" fillcolor="#FFFFFF" filled="t" stroked="t" coordsize="21600,21600" o:gfxdata="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RwCmh1wAAAAkBAAAPAAAAAAAAAAEAIAAAACIA&#10;AABkcnMvZG93bnJldi54bWxQSwECFAAUAAAACACHTuJA1XT+WgoCAAAxBAAADgAAAAAAAAABACAA&#10;AAAmAQAAZHJzL2Uyb0RvYy54bWxQSwUGAAAAAAYABgBZAQAAogUAAAAA&#10;">
                <v:fill on="t" focussize="0,0"/>
                <v:stroke weight="0.25pt" color="#000000" joinstyle="miter"/>
                <v:imagedata o:title=""/>
                <o:lock v:ext="edit" aspectratio="f"/>
                <v:textbox>
                  <w:txbxContent>
                    <w:p w14:paraId="6FA3B340">
                      <w:pPr>
                        <w:rPr>
                          <w:sz w:val="24"/>
                        </w:rPr>
                      </w:pPr>
                    </w:p>
                    <w:p w14:paraId="150666E9">
                      <w:pPr>
                        <w:rPr>
                          <w:sz w:val="24"/>
                        </w:rPr>
                      </w:pPr>
                    </w:p>
                    <w:p w14:paraId="18998DA4">
                      <w:pPr>
                        <w:rPr>
                          <w:sz w:val="24"/>
                        </w:rPr>
                      </w:pPr>
                    </w:p>
                    <w:p w14:paraId="35A5D522">
                      <w:pPr>
                        <w:rPr>
                          <w:sz w:val="24"/>
                        </w:rPr>
                      </w:pPr>
                    </w:p>
                    <w:p w14:paraId="0507BB3F">
                      <w:pPr>
                        <w:snapToGrid w:val="0"/>
                        <w:spacing w:line="360" w:lineRule="auto"/>
                        <w:jc w:val="center"/>
                        <w:rPr>
                          <w:rFonts w:ascii="宋体" w:hAnsi="宋体" w:cs="宋体"/>
                          <w:szCs w:val="21"/>
                        </w:rPr>
                      </w:pPr>
                      <w:r>
                        <w:rPr>
                          <w:rFonts w:hint="eastAsia" w:ascii="宋体" w:hAnsi="宋体" w:cs="宋体"/>
                          <w:szCs w:val="21"/>
                        </w:rPr>
                        <w:t>授权委托人身份证复印件</w:t>
                      </w:r>
                    </w:p>
                    <w:p w14:paraId="4B65DB9A">
                      <w:pPr>
                        <w:snapToGrid w:val="0"/>
                        <w:spacing w:line="360" w:lineRule="auto"/>
                        <w:jc w:val="center"/>
                        <w:rPr>
                          <w:rFonts w:ascii="宋体" w:hAnsi="宋体" w:cs="宋体"/>
                          <w:szCs w:val="21"/>
                        </w:rPr>
                      </w:pPr>
                      <w:r>
                        <w:rPr>
                          <w:rFonts w:hint="eastAsia" w:ascii="宋体" w:hAnsi="宋体" w:cs="宋体"/>
                          <w:szCs w:val="21"/>
                        </w:rPr>
                        <w:t>（正面）</w:t>
                      </w:r>
                    </w:p>
                    <w:p w14:paraId="09FBA1B2">
                      <w:pPr>
                        <w:rPr>
                          <w:sz w:val="24"/>
                        </w:rPr>
                      </w:pPr>
                    </w:p>
                    <w:p w14:paraId="3BFA7F39">
                      <w:pPr>
                        <w:rPr>
                          <w:sz w:val="24"/>
                        </w:rPr>
                      </w:pPr>
                    </w:p>
                    <w:p w14:paraId="11367CC6">
                      <w:pPr>
                        <w:rPr>
                          <w:sz w:val="24"/>
                        </w:rPr>
                      </w:pPr>
                    </w:p>
                  </w:txbxContent>
                </v:textbox>
              </v:rect>
            </w:pict>
          </mc:Fallback>
        </mc:AlternateContent>
      </w:r>
    </w:p>
    <w:p w14:paraId="25119808">
      <w:pPr>
        <w:snapToGrid w:val="0"/>
        <w:spacing w:line="360" w:lineRule="auto"/>
        <w:jc w:val="center"/>
        <w:rPr>
          <w:rFonts w:ascii="宋体" w:hAnsi="宋体" w:cs="宋体"/>
          <w:szCs w:val="21"/>
        </w:rPr>
      </w:pPr>
    </w:p>
    <w:p w14:paraId="337604C1">
      <w:pPr>
        <w:snapToGrid w:val="0"/>
        <w:spacing w:line="360" w:lineRule="auto"/>
        <w:jc w:val="center"/>
        <w:rPr>
          <w:rFonts w:ascii="宋体" w:hAnsi="宋体" w:cs="宋体"/>
          <w:szCs w:val="21"/>
        </w:rPr>
      </w:pPr>
    </w:p>
    <w:p w14:paraId="39CB4DD3">
      <w:pPr>
        <w:snapToGrid w:val="0"/>
        <w:spacing w:line="360" w:lineRule="auto"/>
        <w:jc w:val="center"/>
        <w:rPr>
          <w:rFonts w:ascii="宋体" w:hAnsi="宋体" w:cs="宋体"/>
          <w:szCs w:val="21"/>
        </w:rPr>
      </w:pPr>
    </w:p>
    <w:p w14:paraId="1692E59A">
      <w:pPr>
        <w:snapToGrid w:val="0"/>
        <w:spacing w:line="360" w:lineRule="auto"/>
        <w:jc w:val="center"/>
        <w:rPr>
          <w:rFonts w:ascii="宋体" w:hAnsi="宋体" w:cs="宋体"/>
          <w:szCs w:val="21"/>
        </w:rPr>
      </w:pPr>
    </w:p>
    <w:p w14:paraId="53C3C30E">
      <w:pPr>
        <w:snapToGrid w:val="0"/>
        <w:spacing w:line="360" w:lineRule="auto"/>
        <w:jc w:val="center"/>
        <w:rPr>
          <w:rFonts w:ascii="宋体" w:hAnsi="宋体" w:cs="宋体"/>
          <w:szCs w:val="21"/>
        </w:rPr>
      </w:pPr>
    </w:p>
    <w:p w14:paraId="367301E5">
      <w:pPr>
        <w:adjustRightInd w:val="0"/>
        <w:snapToGrid w:val="0"/>
        <w:spacing w:line="360" w:lineRule="auto"/>
        <w:rPr>
          <w:rFonts w:ascii="宋体" w:hAnsi="宋体"/>
          <w:szCs w:val="21"/>
        </w:rPr>
      </w:pPr>
      <w:r>
        <w:rPr>
          <w:rFonts w:hint="eastAsia" w:ascii="宋体" w:hAnsi="宋体"/>
          <w:szCs w:val="21"/>
        </w:rPr>
        <w:t xml:space="preserve">                                     </w:t>
      </w:r>
    </w:p>
    <w:p w14:paraId="56C995F3">
      <w:pPr>
        <w:adjustRightInd w:val="0"/>
        <w:snapToGrid w:val="0"/>
        <w:spacing w:line="360" w:lineRule="auto"/>
        <w:jc w:val="center"/>
        <w:rPr>
          <w:rFonts w:ascii="宋体" w:hAnsi="宋体"/>
          <w:szCs w:val="21"/>
        </w:rPr>
      </w:pPr>
      <w:r>
        <w:rPr>
          <w:rFonts w:hint="eastAsia" w:ascii="宋体" w:hAnsi="宋体"/>
          <w:szCs w:val="21"/>
        </w:rPr>
        <w:t xml:space="preserve">                             供应商：</w:t>
      </w:r>
      <w:r>
        <w:rPr>
          <w:rFonts w:hint="eastAsia" w:ascii="宋体" w:hAnsi="宋体"/>
          <w:szCs w:val="21"/>
          <w:u w:val="single"/>
        </w:rPr>
        <w:t xml:space="preserve">                 </w:t>
      </w:r>
      <w:r>
        <w:rPr>
          <w:rFonts w:hint="eastAsia" w:ascii="宋体" w:hAnsi="宋体"/>
          <w:szCs w:val="21"/>
        </w:rPr>
        <w:t>（</w:t>
      </w:r>
      <w:r>
        <w:rPr>
          <w:rFonts w:hint="eastAsia" w:ascii="Times New Roman" w:hAnsi="Times New Roman"/>
          <w:szCs w:val="21"/>
        </w:rPr>
        <w:t>公章</w:t>
      </w:r>
      <w:r>
        <w:rPr>
          <w:rFonts w:hint="eastAsia" w:ascii="宋体" w:hAnsi="宋体"/>
          <w:szCs w:val="21"/>
        </w:rPr>
        <w:t>）</w:t>
      </w:r>
    </w:p>
    <w:p w14:paraId="517DC264">
      <w:pPr>
        <w:adjustRightInd w:val="0"/>
        <w:snapToGrid w:val="0"/>
        <w:spacing w:line="360" w:lineRule="auto"/>
        <w:rPr>
          <w:rFonts w:ascii="宋体" w:hAnsi="宋体"/>
          <w:szCs w:val="21"/>
        </w:rPr>
      </w:pPr>
      <w:r>
        <w:rPr>
          <w:rFonts w:hint="eastAsia" w:ascii="宋体" w:hAnsi="宋体"/>
          <w:szCs w:val="21"/>
        </w:rPr>
        <w:t xml:space="preserve">                                       法定代表人：</w:t>
      </w:r>
      <w:r>
        <w:rPr>
          <w:rFonts w:hint="eastAsia" w:ascii="宋体" w:hAnsi="宋体"/>
          <w:szCs w:val="21"/>
          <w:u w:val="single"/>
        </w:rPr>
        <w:t xml:space="preserve">               </w:t>
      </w:r>
      <w:r>
        <w:rPr>
          <w:rFonts w:hint="eastAsia" w:ascii="宋体" w:hAnsi="宋体"/>
          <w:szCs w:val="21"/>
        </w:rPr>
        <w:t>（签字）</w:t>
      </w:r>
    </w:p>
    <w:p w14:paraId="40CC5A46">
      <w:pPr>
        <w:adjustRightInd w:val="0"/>
        <w:snapToGrid w:val="0"/>
        <w:spacing w:line="360" w:lineRule="auto"/>
        <w:rPr>
          <w:rFonts w:ascii="宋体" w:hAnsi="宋体"/>
          <w:szCs w:val="21"/>
          <w:u w:val="single"/>
        </w:rPr>
      </w:pPr>
      <w:r>
        <w:rPr>
          <w:rFonts w:hint="eastAsia" w:ascii="宋体" w:hAnsi="宋体"/>
          <w:szCs w:val="21"/>
        </w:rPr>
        <w:t xml:space="preserve">                                       身份证号码</w:t>
      </w:r>
      <w:r>
        <w:rPr>
          <w:rFonts w:hint="eastAsia" w:ascii="宋体" w:hAnsi="宋体"/>
          <w:szCs w:val="21"/>
          <w:u w:val="single"/>
        </w:rPr>
        <w:t xml:space="preserve">：                      </w:t>
      </w:r>
    </w:p>
    <w:p w14:paraId="1F52A0DB">
      <w:pPr>
        <w:adjustRightInd w:val="0"/>
        <w:snapToGrid w:val="0"/>
        <w:spacing w:line="360" w:lineRule="auto"/>
        <w:rPr>
          <w:rFonts w:ascii="宋体" w:hAnsi="宋体"/>
          <w:szCs w:val="21"/>
          <w:u w:val="single"/>
        </w:rPr>
      </w:pPr>
      <w:r>
        <w:rPr>
          <w:rFonts w:hint="eastAsia" w:ascii="宋体" w:hAnsi="宋体"/>
          <w:szCs w:val="21"/>
        </w:rPr>
        <w:t xml:space="preserve">                                       委托代理人：</w:t>
      </w:r>
      <w:r>
        <w:rPr>
          <w:rFonts w:hint="eastAsia" w:ascii="宋体" w:hAnsi="宋体"/>
          <w:szCs w:val="21"/>
          <w:u w:val="single"/>
        </w:rPr>
        <w:t xml:space="preserve">                 </w:t>
      </w:r>
      <w:r>
        <w:rPr>
          <w:rFonts w:hint="eastAsia" w:ascii="宋体" w:hAnsi="宋体"/>
          <w:szCs w:val="21"/>
        </w:rPr>
        <w:t>（签字）</w:t>
      </w:r>
    </w:p>
    <w:p w14:paraId="2D4E3BA5">
      <w:pPr>
        <w:adjustRightInd w:val="0"/>
        <w:snapToGrid w:val="0"/>
        <w:spacing w:line="360" w:lineRule="auto"/>
        <w:rPr>
          <w:rFonts w:ascii="宋体" w:hAnsi="宋体"/>
          <w:szCs w:val="21"/>
        </w:rPr>
      </w:pPr>
      <w:r>
        <w:rPr>
          <w:rFonts w:hint="eastAsia" w:ascii="宋体" w:hAnsi="宋体"/>
          <w:szCs w:val="21"/>
        </w:rPr>
        <w:t xml:space="preserve">                                       身份证号码：</w:t>
      </w:r>
      <w:r>
        <w:rPr>
          <w:rFonts w:hint="eastAsia" w:ascii="宋体" w:hAnsi="宋体"/>
          <w:szCs w:val="21"/>
          <w:u w:val="single"/>
        </w:rPr>
        <w:t xml:space="preserve">                       </w:t>
      </w:r>
      <w:r>
        <w:rPr>
          <w:rFonts w:hint="eastAsia" w:ascii="宋体" w:hAnsi="宋体"/>
          <w:szCs w:val="21"/>
        </w:rPr>
        <w:t xml:space="preserve"> </w:t>
      </w:r>
    </w:p>
    <w:p w14:paraId="1FBCDC5C">
      <w:pPr>
        <w:adjustRightInd w:val="0"/>
        <w:snapToGrid w:val="0"/>
        <w:spacing w:line="360" w:lineRule="auto"/>
        <w:rPr>
          <w:rFonts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0FC590B">
      <w:pPr>
        <w:spacing w:line="240" w:lineRule="atLeast"/>
        <w:jc w:val="center"/>
        <w:rPr>
          <w:rFonts w:ascii="宋体" w:hAnsi="宋体"/>
          <w:szCs w:val="21"/>
        </w:rPr>
      </w:pPr>
    </w:p>
    <w:p w14:paraId="0450C176">
      <w:pPr>
        <w:spacing w:line="440" w:lineRule="exact"/>
        <w:ind w:firstLine="4057" w:firstLineChars="1932"/>
        <w:jc w:val="right"/>
        <w:rPr>
          <w:rFonts w:ascii="Times New Roman" w:hAnsi="Times New Roman"/>
        </w:rPr>
      </w:pPr>
    </w:p>
    <w:p w14:paraId="59283793">
      <w:pPr>
        <w:spacing w:line="440" w:lineRule="exact"/>
        <w:ind w:firstLine="4057" w:firstLineChars="1932"/>
        <w:jc w:val="right"/>
        <w:rPr>
          <w:rFonts w:ascii="Times New Roman" w:hAnsi="Times New Roman"/>
        </w:rPr>
      </w:pPr>
    </w:p>
    <w:p w14:paraId="0106D159">
      <w:pPr>
        <w:spacing w:line="440" w:lineRule="exact"/>
        <w:rPr>
          <w:rFonts w:ascii="宋体" w:hAnsi="宋体" w:eastAsia="宋体" w:cs="宋体"/>
          <w:b/>
          <w:sz w:val="32"/>
          <w:szCs w:val="20"/>
        </w:rPr>
      </w:pPr>
      <w:r>
        <w:rPr>
          <w:rFonts w:hint="eastAsia" w:ascii="宋体" w:hAnsi="宋体" w:cs="宋体"/>
          <w:b/>
          <w:bCs/>
          <w:szCs w:val="21"/>
        </w:rPr>
        <w:t>注：授权委托书后须按供应商须知前附表1.4.1要求附授权委托人社保证明。</w:t>
      </w:r>
      <w:bookmarkStart w:id="786" w:name="_Toc13519"/>
      <w:bookmarkStart w:id="787" w:name="_Toc24715"/>
      <w:bookmarkStart w:id="788" w:name="_Toc22738"/>
      <w:bookmarkStart w:id="789" w:name="_Toc361508760"/>
      <w:r>
        <w:rPr>
          <w:rFonts w:ascii="宋体" w:hAnsi="宋体" w:eastAsia="宋体" w:cs="宋体"/>
        </w:rPr>
        <w:br w:type="page"/>
      </w:r>
    </w:p>
    <w:p w14:paraId="575BD19E">
      <w:pPr>
        <w:pStyle w:val="4"/>
        <w:spacing w:after="0"/>
        <w:jc w:val="center"/>
        <w:rPr>
          <w:rFonts w:ascii="宋体" w:hAnsi="宋体" w:eastAsia="宋体" w:cs="宋体"/>
        </w:rPr>
      </w:pPr>
      <w:bookmarkStart w:id="790" w:name="_Toc74125969"/>
      <w:bookmarkStart w:id="791" w:name="_Toc80884541"/>
      <w:bookmarkStart w:id="792" w:name="_Toc69937244"/>
      <w:r>
        <w:rPr>
          <w:rFonts w:hint="eastAsia" w:ascii="宋体" w:hAnsi="宋体" w:eastAsia="宋体" w:cs="宋体"/>
          <w:lang w:val="en-US" w:eastAsia="zh-CN"/>
        </w:rPr>
        <w:t>四</w:t>
      </w:r>
      <w:r>
        <w:rPr>
          <w:rFonts w:hint="eastAsia" w:ascii="宋体" w:hAnsi="宋体" w:eastAsia="宋体" w:cs="宋体"/>
        </w:rPr>
        <w:t>、资格审查资料</w:t>
      </w:r>
      <w:bookmarkEnd w:id="786"/>
      <w:bookmarkEnd w:id="787"/>
      <w:bookmarkEnd w:id="788"/>
      <w:bookmarkEnd w:id="790"/>
      <w:bookmarkEnd w:id="791"/>
      <w:bookmarkEnd w:id="792"/>
    </w:p>
    <w:p w14:paraId="5CE2DAFB">
      <w:pPr>
        <w:pStyle w:val="5"/>
        <w:spacing w:before="20" w:after="0"/>
        <w:ind w:firstLine="137"/>
        <w:jc w:val="center"/>
        <w:rPr>
          <w:rFonts w:ascii="宋体" w:hAnsi="宋体" w:eastAsia="宋体" w:cs="宋体"/>
        </w:rPr>
      </w:pPr>
      <w:bookmarkStart w:id="793" w:name="_Toc80884542"/>
      <w:bookmarkStart w:id="794" w:name="_Toc74125970"/>
      <w:bookmarkStart w:id="795" w:name="_Toc69937245"/>
      <w:bookmarkStart w:id="796" w:name="_Toc14193"/>
      <w:bookmarkStart w:id="797" w:name="_Toc30487"/>
      <w:bookmarkStart w:id="798" w:name="_Toc24131"/>
      <w:r>
        <w:rPr>
          <w:rFonts w:hint="eastAsia" w:ascii="宋体" w:hAnsi="宋体" w:eastAsia="宋体" w:cs="宋体"/>
        </w:rPr>
        <w:t>（一）基本情况表</w:t>
      </w:r>
      <w:bookmarkEnd w:id="793"/>
      <w:bookmarkEnd w:id="794"/>
      <w:bookmarkEnd w:id="795"/>
      <w:bookmarkEnd w:id="796"/>
      <w:bookmarkEnd w:id="797"/>
      <w:bookmarkEnd w:id="798"/>
    </w:p>
    <w:tbl>
      <w:tblPr>
        <w:tblStyle w:val="40"/>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166DB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F0F5C33">
            <w:pPr>
              <w:topLinePunct/>
              <w:spacing w:line="440" w:lineRule="exact"/>
              <w:jc w:val="center"/>
              <w:rPr>
                <w:rFonts w:ascii="Times New Roman" w:hAnsi="Times New Roman"/>
              </w:rPr>
            </w:pPr>
            <w:r>
              <w:rPr>
                <w:rFonts w:hint="eastAsia" w:ascii="Times New Roman" w:hAnsi="Times New Roman"/>
              </w:rPr>
              <w:t>供应商名称</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3D01B7D1">
            <w:pPr>
              <w:topLinePunct/>
              <w:spacing w:line="440" w:lineRule="exact"/>
              <w:jc w:val="center"/>
              <w:rPr>
                <w:rFonts w:ascii="Times New Roman" w:hAnsi="Times New Roman"/>
              </w:rPr>
            </w:pPr>
          </w:p>
        </w:tc>
      </w:tr>
      <w:tr w14:paraId="75ABB0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7D3A2EB3">
            <w:pPr>
              <w:topLinePunct/>
              <w:spacing w:line="440" w:lineRule="exact"/>
              <w:jc w:val="center"/>
              <w:rPr>
                <w:rFonts w:ascii="Times New Roman" w:hAnsi="Times New Roman"/>
              </w:rPr>
            </w:pPr>
            <w:r>
              <w:rPr>
                <w:rFonts w:hint="eastAsia" w:ascii="Times New Roman" w:hAnsi="Times New Roman"/>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07804F9E">
            <w:pPr>
              <w:topLinePunct/>
              <w:spacing w:line="440" w:lineRule="exact"/>
              <w:jc w:val="center"/>
              <w:rPr>
                <w:rFonts w:ascii="Times New Roman" w:hAnsi="Times New Roman"/>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0A9ED174">
            <w:pPr>
              <w:topLinePunct/>
              <w:spacing w:before="100" w:beforeAutospacing="1" w:after="100" w:afterAutospacing="1" w:line="440" w:lineRule="exact"/>
              <w:jc w:val="center"/>
              <w:rPr>
                <w:rFonts w:ascii="Times New Roman" w:hAnsi="Times New Roman"/>
              </w:rPr>
            </w:pPr>
            <w:r>
              <w:rPr>
                <w:rFonts w:hint="eastAsia" w:ascii="Times New Roman" w:hAnsi="Times New Roman"/>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1914752">
            <w:pPr>
              <w:topLinePunct/>
              <w:spacing w:line="440" w:lineRule="exact"/>
              <w:jc w:val="center"/>
              <w:rPr>
                <w:rFonts w:ascii="Times New Roman" w:hAnsi="Times New Roman"/>
              </w:rPr>
            </w:pPr>
          </w:p>
        </w:tc>
      </w:tr>
      <w:tr w14:paraId="54428F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vAlign w:val="center"/>
          </w:tcPr>
          <w:p w14:paraId="398946AB">
            <w:pPr>
              <w:topLinePunct/>
              <w:spacing w:line="440" w:lineRule="exact"/>
              <w:jc w:val="center"/>
              <w:rPr>
                <w:rFonts w:ascii="Times New Roman" w:hAnsi="Times New Roman"/>
              </w:rPr>
            </w:pPr>
            <w:r>
              <w:rPr>
                <w:rFonts w:hint="eastAsia" w:ascii="Times New Roman" w:hAnsi="Times New Roman"/>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48629297">
            <w:pPr>
              <w:topLinePunct/>
              <w:spacing w:before="100" w:beforeAutospacing="1" w:after="100" w:afterAutospacing="1" w:line="440" w:lineRule="exact"/>
              <w:jc w:val="center"/>
              <w:rPr>
                <w:rFonts w:ascii="Times New Roman" w:hAnsi="Times New Roman"/>
              </w:rPr>
            </w:pPr>
            <w:r>
              <w:rPr>
                <w:rFonts w:hint="eastAsia" w:ascii="Times New Roman" w:hAnsi="Times New Roman"/>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18FF11AD">
            <w:pPr>
              <w:topLinePunct/>
              <w:spacing w:line="440" w:lineRule="exact"/>
              <w:jc w:val="center"/>
              <w:rPr>
                <w:rFonts w:ascii="Times New Roman" w:hAnsi="Times New Roman"/>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7A2B7961">
            <w:pPr>
              <w:topLinePunct/>
              <w:spacing w:before="100" w:beforeAutospacing="1" w:after="100" w:afterAutospacing="1" w:line="440" w:lineRule="exact"/>
              <w:jc w:val="center"/>
              <w:rPr>
                <w:rFonts w:ascii="Times New Roman" w:hAnsi="Times New Roman"/>
              </w:rPr>
            </w:pPr>
            <w:r>
              <w:rPr>
                <w:rFonts w:hint="eastAsia" w:ascii="Times New Roman" w:hAnsi="Times New Roman"/>
              </w:rPr>
              <w:t>电</w:t>
            </w:r>
            <w:r>
              <w:rPr>
                <w:rFonts w:ascii="Times New Roman" w:hAnsi="Times New Roman"/>
              </w:rPr>
              <w:t xml:space="preserve"> </w:t>
            </w:r>
            <w:r>
              <w:rPr>
                <w:rFonts w:hint="eastAsia" w:ascii="Times New Roman" w:hAnsi="Times New Roman"/>
              </w:rPr>
              <w:t>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EE8F7B0">
            <w:pPr>
              <w:topLinePunct/>
              <w:spacing w:line="440" w:lineRule="exact"/>
              <w:jc w:val="center"/>
              <w:rPr>
                <w:rFonts w:ascii="Times New Roman" w:hAnsi="Times New Roman"/>
              </w:rPr>
            </w:pPr>
          </w:p>
        </w:tc>
      </w:tr>
      <w:tr w14:paraId="22AEEF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vAlign w:val="center"/>
          </w:tcPr>
          <w:p w14:paraId="4A194E39">
            <w:pPr>
              <w:jc w:val="center"/>
              <w:rPr>
                <w:rFonts w:ascii="Times New Roman" w:hAnsi="Times New Roman"/>
              </w:rPr>
            </w:pPr>
          </w:p>
        </w:tc>
        <w:tc>
          <w:tcPr>
            <w:tcW w:w="898" w:type="dxa"/>
            <w:tcBorders>
              <w:top w:val="single" w:color="auto" w:sz="4" w:space="0"/>
              <w:left w:val="single" w:color="auto" w:sz="4" w:space="0"/>
              <w:bottom w:val="single" w:color="auto" w:sz="4" w:space="0"/>
              <w:right w:val="single" w:color="auto" w:sz="4" w:space="0"/>
            </w:tcBorders>
            <w:vAlign w:val="center"/>
          </w:tcPr>
          <w:p w14:paraId="532488B9">
            <w:pPr>
              <w:topLinePunct/>
              <w:spacing w:before="100" w:beforeAutospacing="1" w:after="100" w:afterAutospacing="1" w:line="440" w:lineRule="exact"/>
              <w:jc w:val="center"/>
              <w:rPr>
                <w:rFonts w:ascii="Times New Roman" w:hAnsi="Times New Roman"/>
              </w:rPr>
            </w:pPr>
            <w:r>
              <w:rPr>
                <w:rFonts w:hint="eastAsia" w:ascii="Times New Roman" w:hAnsi="Times New Roman"/>
              </w:rPr>
              <w:t>传</w:t>
            </w:r>
            <w:r>
              <w:rPr>
                <w:rFonts w:ascii="Times New Roman" w:hAnsi="Times New Roman"/>
              </w:rPr>
              <w:t xml:space="preserve">  </w:t>
            </w:r>
            <w:r>
              <w:rPr>
                <w:rFonts w:hint="eastAsia" w:ascii="Times New Roman" w:hAnsi="Times New Roman"/>
              </w:rPr>
              <w:t>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70F67530">
            <w:pPr>
              <w:topLinePunct/>
              <w:spacing w:line="440" w:lineRule="exact"/>
              <w:jc w:val="center"/>
              <w:rPr>
                <w:rFonts w:ascii="Times New Roman" w:hAnsi="Times New Roman"/>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216D0EE4">
            <w:pPr>
              <w:topLinePunct/>
              <w:spacing w:before="100" w:beforeAutospacing="1" w:after="100" w:afterAutospacing="1" w:line="440" w:lineRule="exact"/>
              <w:jc w:val="center"/>
              <w:rPr>
                <w:rFonts w:ascii="Times New Roman" w:hAnsi="Times New Roman"/>
              </w:rPr>
            </w:pPr>
            <w:r>
              <w:rPr>
                <w:rFonts w:hint="eastAsia" w:ascii="Times New Roman" w:hAnsi="Times New Roman"/>
              </w:rPr>
              <w:t>网</w:t>
            </w:r>
            <w:r>
              <w:rPr>
                <w:rFonts w:ascii="Times New Roman" w:hAnsi="Times New Roman"/>
              </w:rPr>
              <w:t xml:space="preserve"> </w:t>
            </w:r>
            <w:r>
              <w:rPr>
                <w:rFonts w:hint="eastAsia" w:ascii="Times New Roman" w:hAnsi="Times New Roman"/>
              </w:rPr>
              <w:t>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0075169">
            <w:pPr>
              <w:topLinePunct/>
              <w:spacing w:line="440" w:lineRule="exact"/>
              <w:jc w:val="center"/>
              <w:rPr>
                <w:rFonts w:ascii="Times New Roman" w:hAnsi="Times New Roman"/>
              </w:rPr>
            </w:pPr>
          </w:p>
        </w:tc>
      </w:tr>
      <w:tr w14:paraId="76FF3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0C0F166">
            <w:pPr>
              <w:topLinePunct/>
              <w:spacing w:before="100" w:beforeAutospacing="1" w:after="100" w:afterAutospacing="1" w:line="440" w:lineRule="exact"/>
              <w:jc w:val="center"/>
              <w:rPr>
                <w:rFonts w:ascii="Times New Roman" w:hAnsi="Times New Roman"/>
              </w:rPr>
            </w:pPr>
            <w:r>
              <w:rPr>
                <w:rFonts w:hint="eastAsia" w:ascii="Times New Roman" w:hAnsi="Times New Roman"/>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22284CD6">
            <w:pPr>
              <w:topLinePunct/>
              <w:spacing w:before="100" w:beforeAutospacing="1" w:after="100" w:afterAutospacing="1" w:line="440" w:lineRule="exact"/>
              <w:jc w:val="center"/>
              <w:rPr>
                <w:rFonts w:ascii="Times New Roman" w:hAnsi="Times New Roman"/>
              </w:rPr>
            </w:pPr>
            <w:r>
              <w:rPr>
                <w:rFonts w:hint="eastAsia" w:ascii="Times New Roman" w:hAnsi="Times New Roman"/>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2427B414">
            <w:pPr>
              <w:topLinePunct/>
              <w:spacing w:line="440" w:lineRule="exact"/>
              <w:jc w:val="center"/>
              <w:rPr>
                <w:rFonts w:ascii="Times New Roman" w:hAnsi="Times New Roman"/>
              </w:rPr>
            </w:pPr>
          </w:p>
        </w:tc>
        <w:tc>
          <w:tcPr>
            <w:tcW w:w="1287" w:type="dxa"/>
            <w:tcBorders>
              <w:top w:val="single" w:color="auto" w:sz="4" w:space="0"/>
              <w:left w:val="single" w:color="auto" w:sz="4" w:space="0"/>
              <w:bottom w:val="single" w:color="auto" w:sz="4" w:space="0"/>
              <w:right w:val="single" w:color="auto" w:sz="4" w:space="0"/>
            </w:tcBorders>
            <w:vAlign w:val="center"/>
          </w:tcPr>
          <w:p w14:paraId="668058FF">
            <w:pPr>
              <w:topLinePunct/>
              <w:spacing w:before="100" w:beforeAutospacing="1" w:after="100" w:afterAutospacing="1" w:line="440" w:lineRule="exact"/>
              <w:jc w:val="center"/>
              <w:rPr>
                <w:rFonts w:ascii="Times New Roman" w:hAnsi="Times New Roman"/>
              </w:rPr>
            </w:pPr>
            <w:r>
              <w:rPr>
                <w:rFonts w:hint="eastAsia" w:ascii="Times New Roman" w:hAnsi="Times New Roman"/>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287DF905">
            <w:pPr>
              <w:topLinePunct/>
              <w:spacing w:line="440" w:lineRule="exact"/>
              <w:jc w:val="center"/>
              <w:rPr>
                <w:rFonts w:ascii="Times New Roman" w:hAnsi="Times New Roman"/>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0D4AEBF4">
            <w:pPr>
              <w:topLinePunct/>
              <w:spacing w:before="100" w:beforeAutospacing="1" w:after="100" w:afterAutospacing="1" w:line="440" w:lineRule="exact"/>
              <w:jc w:val="center"/>
              <w:rPr>
                <w:rFonts w:ascii="Times New Roman" w:hAnsi="Times New Roman"/>
              </w:rPr>
            </w:pPr>
            <w:r>
              <w:rPr>
                <w:rFonts w:hint="eastAsia" w:ascii="Times New Roman" w:hAnsi="Times New Roman"/>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2A3F2C06">
            <w:pPr>
              <w:topLinePunct/>
              <w:spacing w:line="440" w:lineRule="exact"/>
              <w:jc w:val="center"/>
              <w:rPr>
                <w:rFonts w:ascii="Times New Roman" w:hAnsi="Times New Roman"/>
              </w:rPr>
            </w:pPr>
          </w:p>
        </w:tc>
      </w:tr>
      <w:tr w14:paraId="2547E1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437A703">
            <w:pPr>
              <w:topLinePunct/>
              <w:spacing w:line="440" w:lineRule="exact"/>
              <w:jc w:val="center"/>
              <w:rPr>
                <w:rFonts w:ascii="Times New Roman" w:hAnsi="Times New Roman"/>
              </w:rPr>
            </w:pPr>
            <w:r>
              <w:rPr>
                <w:rFonts w:hint="eastAsia" w:ascii="Times New Roman" w:hAnsi="Times New Roman"/>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0A01A549">
            <w:pPr>
              <w:topLinePunct/>
              <w:spacing w:before="100" w:beforeAutospacing="1" w:after="100" w:afterAutospacing="1" w:line="440" w:lineRule="exact"/>
              <w:jc w:val="center"/>
              <w:rPr>
                <w:rFonts w:ascii="Times New Roman" w:hAnsi="Times New Roman"/>
              </w:rPr>
            </w:pPr>
            <w:r>
              <w:rPr>
                <w:rFonts w:hint="eastAsia" w:ascii="Times New Roman" w:hAnsi="Times New Roman"/>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74B2CBD9">
            <w:pPr>
              <w:topLinePunct/>
              <w:spacing w:line="440" w:lineRule="exact"/>
              <w:jc w:val="center"/>
              <w:rPr>
                <w:rFonts w:ascii="Times New Roman" w:hAnsi="Times New Roman"/>
              </w:rPr>
            </w:pPr>
          </w:p>
        </w:tc>
        <w:tc>
          <w:tcPr>
            <w:tcW w:w="1287" w:type="dxa"/>
            <w:tcBorders>
              <w:top w:val="single" w:color="auto" w:sz="4" w:space="0"/>
              <w:left w:val="single" w:color="auto" w:sz="4" w:space="0"/>
              <w:bottom w:val="single" w:color="auto" w:sz="4" w:space="0"/>
              <w:right w:val="single" w:color="auto" w:sz="4" w:space="0"/>
            </w:tcBorders>
            <w:vAlign w:val="center"/>
          </w:tcPr>
          <w:p w14:paraId="27C96C44">
            <w:pPr>
              <w:topLinePunct/>
              <w:spacing w:before="100" w:beforeAutospacing="1" w:after="100" w:afterAutospacing="1" w:line="440" w:lineRule="exact"/>
              <w:jc w:val="center"/>
              <w:rPr>
                <w:rFonts w:ascii="Times New Roman" w:hAnsi="Times New Roman"/>
              </w:rPr>
            </w:pPr>
            <w:r>
              <w:rPr>
                <w:rFonts w:hint="eastAsia" w:ascii="Times New Roman" w:hAnsi="Times New Roman"/>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3E09E8A3">
            <w:pPr>
              <w:topLinePunct/>
              <w:spacing w:line="440" w:lineRule="exact"/>
              <w:jc w:val="center"/>
              <w:rPr>
                <w:rFonts w:ascii="Times New Roman" w:hAnsi="Times New Roman"/>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3A2F1BD0">
            <w:pPr>
              <w:topLinePunct/>
              <w:spacing w:before="100" w:beforeAutospacing="1" w:after="100" w:afterAutospacing="1" w:line="440" w:lineRule="exact"/>
              <w:jc w:val="center"/>
              <w:rPr>
                <w:rFonts w:ascii="Times New Roman" w:hAnsi="Times New Roman"/>
              </w:rPr>
            </w:pPr>
            <w:r>
              <w:rPr>
                <w:rFonts w:hint="eastAsia" w:ascii="Times New Roman" w:hAnsi="Times New Roman"/>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21DA4F70">
            <w:pPr>
              <w:topLinePunct/>
              <w:spacing w:line="440" w:lineRule="exact"/>
              <w:jc w:val="center"/>
              <w:rPr>
                <w:rFonts w:ascii="Times New Roman" w:hAnsi="Times New Roman"/>
              </w:rPr>
            </w:pPr>
          </w:p>
        </w:tc>
      </w:tr>
      <w:tr w14:paraId="605D20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0734962">
            <w:pPr>
              <w:topLinePunct/>
              <w:spacing w:before="100" w:beforeAutospacing="1" w:after="100" w:afterAutospacing="1" w:line="440" w:lineRule="exact"/>
              <w:jc w:val="center"/>
              <w:rPr>
                <w:rFonts w:ascii="Times New Roman" w:hAnsi="Times New Roman"/>
              </w:rPr>
            </w:pPr>
            <w:r>
              <w:rPr>
                <w:rFonts w:hint="eastAsia" w:ascii="Times New Roman" w:hAnsi="Times New Roman"/>
              </w:rPr>
              <w:t>企业</w:t>
            </w:r>
            <w:r>
              <w:rPr>
                <w:rFonts w:hint="eastAsia" w:ascii="Times New Roman" w:hAnsi="Times New Roman"/>
                <w:szCs w:val="21"/>
              </w:rPr>
              <w:t>设计</w:t>
            </w:r>
            <w:r>
              <w:rPr>
                <w:rFonts w:hint="eastAsia" w:ascii="Times New Roman" w:hAnsi="Times New Roman"/>
              </w:rPr>
              <w:t>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5C89F93C">
            <w:pPr>
              <w:topLinePunct/>
              <w:spacing w:before="100" w:beforeAutospacing="1" w:after="100" w:afterAutospacing="1" w:line="440" w:lineRule="exact"/>
              <w:ind w:firstLine="105" w:firstLineChars="50"/>
              <w:jc w:val="center"/>
              <w:rPr>
                <w:rFonts w:ascii="Times New Roman" w:hAnsi="Times New Roman"/>
              </w:rPr>
            </w:pPr>
            <w:r>
              <w:rPr>
                <w:rFonts w:hint="eastAsia" w:ascii="Times New Roman" w:hAnsi="Times New Roman"/>
              </w:rPr>
              <w:t>类型：</w:t>
            </w:r>
            <w:r>
              <w:rPr>
                <w:rFonts w:ascii="Times New Roman" w:hAnsi="Times New Roman"/>
              </w:rPr>
              <w:t xml:space="preserve">                    </w:t>
            </w:r>
            <w:r>
              <w:rPr>
                <w:rFonts w:hint="eastAsia" w:ascii="Times New Roman" w:hAnsi="Times New Roman"/>
              </w:rPr>
              <w:t>等级：</w:t>
            </w:r>
            <w:r>
              <w:rPr>
                <w:rFonts w:ascii="Times New Roman" w:hAnsi="Times New Roman"/>
              </w:rPr>
              <w:t xml:space="preserve">      </w:t>
            </w:r>
            <w:r>
              <w:rPr>
                <w:rFonts w:hint="eastAsia" w:ascii="Times New Roman" w:hAnsi="Times New Roman"/>
              </w:rPr>
              <w:t>证书号：</w:t>
            </w:r>
          </w:p>
        </w:tc>
      </w:tr>
      <w:tr w14:paraId="3BB911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7DB7973E">
            <w:pPr>
              <w:topLinePunct/>
              <w:spacing w:before="100" w:beforeAutospacing="1" w:after="100" w:afterAutospacing="1" w:line="440" w:lineRule="exact"/>
              <w:jc w:val="center"/>
              <w:rPr>
                <w:rFonts w:ascii="Times New Roman" w:hAnsi="Times New Roman"/>
              </w:rPr>
            </w:pPr>
            <w:r>
              <w:rPr>
                <w:rFonts w:hint="eastAsia" w:ascii="Times New Roman" w:hAnsi="Times New Roman"/>
              </w:rPr>
              <w:t>质量管理体系证书（如有）</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17FEECBD">
            <w:pPr>
              <w:topLinePunct/>
              <w:spacing w:before="100" w:beforeAutospacing="1" w:after="100" w:afterAutospacing="1" w:line="440" w:lineRule="exact"/>
              <w:ind w:firstLine="105" w:firstLineChars="50"/>
              <w:jc w:val="center"/>
              <w:rPr>
                <w:rFonts w:ascii="Times New Roman" w:hAnsi="Times New Roman"/>
              </w:rPr>
            </w:pPr>
            <w:r>
              <w:rPr>
                <w:rFonts w:hint="eastAsia" w:ascii="Times New Roman" w:hAnsi="Times New Roman"/>
              </w:rPr>
              <w:t>类型：</w:t>
            </w:r>
            <w:r>
              <w:rPr>
                <w:rFonts w:ascii="Times New Roman" w:hAnsi="Times New Roman"/>
              </w:rPr>
              <w:t xml:space="preserve">                    </w:t>
            </w:r>
            <w:r>
              <w:rPr>
                <w:rFonts w:hint="eastAsia" w:ascii="Times New Roman" w:hAnsi="Times New Roman"/>
              </w:rPr>
              <w:t>等级：</w:t>
            </w:r>
            <w:r>
              <w:rPr>
                <w:rFonts w:ascii="Times New Roman" w:hAnsi="Times New Roman"/>
              </w:rPr>
              <w:t xml:space="preserve">      </w:t>
            </w:r>
            <w:r>
              <w:rPr>
                <w:rFonts w:hint="eastAsia" w:ascii="Times New Roman" w:hAnsi="Times New Roman"/>
              </w:rPr>
              <w:t>证书号：</w:t>
            </w:r>
          </w:p>
        </w:tc>
      </w:tr>
      <w:tr w14:paraId="3B50A6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E17E868">
            <w:pPr>
              <w:topLinePunct/>
              <w:spacing w:before="100" w:beforeAutospacing="1" w:after="100" w:afterAutospacing="1" w:line="440" w:lineRule="exact"/>
              <w:jc w:val="center"/>
              <w:rPr>
                <w:rFonts w:ascii="Times New Roman" w:hAnsi="Times New Roman"/>
              </w:rPr>
            </w:pPr>
            <w:r>
              <w:rPr>
                <w:rFonts w:hint="eastAsia" w:ascii="Times New Roman" w:hAnsi="Times New Roman"/>
              </w:rPr>
              <w:t>营业执照号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1B665AB5">
            <w:pPr>
              <w:topLinePunct/>
              <w:spacing w:line="440" w:lineRule="exact"/>
              <w:jc w:val="center"/>
              <w:rPr>
                <w:rFonts w:ascii="Times New Roman" w:hAnsi="Times New Roman"/>
              </w:rPr>
            </w:pPr>
          </w:p>
        </w:tc>
        <w:tc>
          <w:tcPr>
            <w:tcW w:w="3629" w:type="dxa"/>
            <w:gridSpan w:val="5"/>
            <w:tcBorders>
              <w:top w:val="single" w:color="auto" w:sz="4" w:space="0"/>
              <w:left w:val="single" w:color="auto" w:sz="4" w:space="0"/>
              <w:bottom w:val="single" w:color="auto" w:sz="4" w:space="0"/>
              <w:right w:val="single" w:color="auto" w:sz="4" w:space="0"/>
            </w:tcBorders>
            <w:vAlign w:val="center"/>
          </w:tcPr>
          <w:p w14:paraId="2128F66A">
            <w:pPr>
              <w:topLinePunct/>
              <w:spacing w:before="100" w:beforeAutospacing="1" w:after="100" w:afterAutospacing="1" w:line="440" w:lineRule="exact"/>
              <w:jc w:val="center"/>
              <w:rPr>
                <w:rFonts w:ascii="Times New Roman" w:hAnsi="Times New Roman"/>
              </w:rPr>
            </w:pPr>
            <w:r>
              <w:rPr>
                <w:rFonts w:hint="eastAsia" w:ascii="Times New Roman" w:hAnsi="Times New Roman"/>
              </w:rPr>
              <w:t>员工总人数：</w:t>
            </w:r>
          </w:p>
        </w:tc>
      </w:tr>
      <w:tr w14:paraId="7C56F0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0F4028FC">
            <w:pPr>
              <w:topLinePunct/>
              <w:spacing w:before="100" w:beforeAutospacing="1" w:after="100" w:afterAutospacing="1" w:line="440" w:lineRule="exact"/>
              <w:jc w:val="center"/>
              <w:rPr>
                <w:rFonts w:ascii="Times New Roman" w:hAnsi="Times New Roman"/>
              </w:rPr>
            </w:pPr>
            <w:r>
              <w:rPr>
                <w:rFonts w:hint="eastAsia" w:ascii="Times New Roman" w:hAnsi="Times New Roman"/>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541672B6">
            <w:pPr>
              <w:topLinePunct/>
              <w:spacing w:line="440" w:lineRule="exact"/>
              <w:jc w:val="center"/>
              <w:rPr>
                <w:rFonts w:ascii="Times New Roman" w:hAnsi="Times New Roman"/>
              </w:rPr>
            </w:pPr>
          </w:p>
        </w:tc>
        <w:tc>
          <w:tcPr>
            <w:tcW w:w="414" w:type="dxa"/>
            <w:vMerge w:val="restart"/>
            <w:tcBorders>
              <w:top w:val="single" w:color="auto" w:sz="4" w:space="0"/>
              <w:left w:val="single" w:color="auto" w:sz="4" w:space="0"/>
              <w:right w:val="single" w:color="auto" w:sz="4" w:space="0"/>
            </w:tcBorders>
            <w:vAlign w:val="center"/>
          </w:tcPr>
          <w:p w14:paraId="033C09CC">
            <w:pPr>
              <w:topLinePunct/>
              <w:spacing w:before="100" w:beforeAutospacing="1" w:after="100" w:afterAutospacing="1" w:line="440" w:lineRule="exact"/>
              <w:jc w:val="center"/>
              <w:rPr>
                <w:rFonts w:ascii="Times New Roman" w:hAnsi="Times New Roman"/>
              </w:rPr>
            </w:pPr>
            <w:r>
              <w:rPr>
                <w:rFonts w:hint="eastAsia" w:ascii="Times New Roman" w:hAnsi="Times New Roman"/>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B5E6517">
            <w:pPr>
              <w:topLinePunct/>
              <w:spacing w:before="100" w:beforeAutospacing="1" w:after="100" w:afterAutospacing="1" w:line="440" w:lineRule="exact"/>
              <w:jc w:val="center"/>
              <w:rPr>
                <w:rFonts w:ascii="Times New Roman" w:hAnsi="Times New Roman"/>
              </w:rPr>
            </w:pPr>
            <w:r>
              <w:rPr>
                <w:rFonts w:hint="eastAsia" w:ascii="Times New Roman" w:hAnsi="Times New Roman"/>
              </w:rPr>
              <w:t>高级职称人员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5FC41190">
            <w:pPr>
              <w:topLinePunct/>
              <w:spacing w:line="440" w:lineRule="exact"/>
              <w:jc w:val="center"/>
              <w:rPr>
                <w:rFonts w:ascii="Times New Roman" w:hAnsi="Times New Roman"/>
              </w:rPr>
            </w:pPr>
          </w:p>
        </w:tc>
      </w:tr>
      <w:tr w14:paraId="696ED9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651BEBD">
            <w:pPr>
              <w:topLinePunct/>
              <w:spacing w:before="100" w:beforeAutospacing="1" w:after="100" w:afterAutospacing="1" w:line="440" w:lineRule="exact"/>
              <w:jc w:val="center"/>
              <w:rPr>
                <w:rFonts w:ascii="Times New Roman" w:hAnsi="Times New Roman"/>
              </w:rPr>
            </w:pPr>
            <w:r>
              <w:rPr>
                <w:rFonts w:hint="eastAsia" w:ascii="Times New Roman" w:hAnsi="Times New Roman"/>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8DF1F5B">
            <w:pPr>
              <w:topLinePunct/>
              <w:spacing w:line="440" w:lineRule="exact"/>
              <w:jc w:val="center"/>
              <w:rPr>
                <w:rFonts w:ascii="Times New Roman" w:hAnsi="Times New Roman"/>
              </w:rPr>
            </w:pPr>
          </w:p>
        </w:tc>
        <w:tc>
          <w:tcPr>
            <w:tcW w:w="414" w:type="dxa"/>
            <w:vMerge w:val="continue"/>
            <w:tcBorders>
              <w:left w:val="single" w:color="auto" w:sz="4" w:space="0"/>
              <w:right w:val="single" w:color="auto" w:sz="4" w:space="0"/>
            </w:tcBorders>
            <w:vAlign w:val="center"/>
          </w:tcPr>
          <w:p w14:paraId="0D638378">
            <w:pPr>
              <w:jc w:val="center"/>
              <w:rPr>
                <w:rFonts w:ascii="Times New Roman" w:hAnsi="Times New Roman"/>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496DF24">
            <w:pPr>
              <w:topLinePunct/>
              <w:spacing w:before="100" w:beforeAutospacing="1" w:after="100" w:afterAutospacing="1" w:line="440" w:lineRule="exact"/>
              <w:jc w:val="center"/>
              <w:rPr>
                <w:rFonts w:ascii="Times New Roman" w:hAnsi="Times New Roman"/>
              </w:rPr>
            </w:pPr>
            <w:r>
              <w:rPr>
                <w:rFonts w:hint="eastAsia" w:ascii="Times New Roman" w:hAnsi="Times New Roman"/>
              </w:rPr>
              <w:t>中级职称人员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3BD06ACD">
            <w:pPr>
              <w:topLinePunct/>
              <w:spacing w:line="440" w:lineRule="exact"/>
              <w:jc w:val="center"/>
              <w:rPr>
                <w:rFonts w:ascii="Times New Roman" w:hAnsi="Times New Roman"/>
              </w:rPr>
            </w:pPr>
          </w:p>
        </w:tc>
      </w:tr>
      <w:tr w14:paraId="305C1C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7589DC3">
            <w:pPr>
              <w:topLinePunct/>
              <w:spacing w:before="100" w:beforeAutospacing="1" w:after="100" w:afterAutospacing="1" w:line="440" w:lineRule="exact"/>
              <w:jc w:val="center"/>
              <w:rPr>
                <w:rFonts w:ascii="Times New Roman" w:hAnsi="Times New Roman"/>
              </w:rPr>
            </w:pPr>
            <w:r>
              <w:rPr>
                <w:rFonts w:hint="eastAsia" w:ascii="Times New Roman" w:hAnsi="Times New Roman"/>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1ACCC700">
            <w:pPr>
              <w:topLinePunct/>
              <w:spacing w:line="440" w:lineRule="exact"/>
              <w:jc w:val="center"/>
              <w:rPr>
                <w:rFonts w:ascii="Times New Roman" w:hAnsi="Times New Roman"/>
              </w:rPr>
            </w:pPr>
          </w:p>
        </w:tc>
        <w:tc>
          <w:tcPr>
            <w:tcW w:w="414" w:type="dxa"/>
            <w:vMerge w:val="continue"/>
            <w:tcBorders>
              <w:left w:val="single" w:color="auto" w:sz="4" w:space="0"/>
              <w:right w:val="single" w:color="auto" w:sz="4" w:space="0"/>
            </w:tcBorders>
            <w:vAlign w:val="center"/>
          </w:tcPr>
          <w:p w14:paraId="6D6BD49E">
            <w:pPr>
              <w:jc w:val="center"/>
              <w:rPr>
                <w:rFonts w:ascii="Times New Roman" w:hAnsi="Times New Roman"/>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39311CAD">
            <w:pPr>
              <w:topLinePunct/>
              <w:spacing w:before="100" w:beforeAutospacing="1" w:after="100" w:afterAutospacing="1" w:line="440" w:lineRule="exact"/>
              <w:jc w:val="center"/>
              <w:rPr>
                <w:rFonts w:ascii="Times New Roman" w:hAnsi="Times New Roman"/>
              </w:rPr>
            </w:pPr>
            <w:r>
              <w:rPr>
                <w:rFonts w:hint="eastAsia" w:ascii="Times New Roman" w:hAnsi="Times New Roman"/>
              </w:rPr>
              <w:t>技术人员数量</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069CDCDD">
            <w:pPr>
              <w:topLinePunct/>
              <w:spacing w:line="440" w:lineRule="exact"/>
              <w:jc w:val="center"/>
              <w:rPr>
                <w:rFonts w:ascii="Times New Roman" w:hAnsi="Times New Roman"/>
              </w:rPr>
            </w:pPr>
          </w:p>
        </w:tc>
      </w:tr>
      <w:tr w14:paraId="18328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03831393">
            <w:pPr>
              <w:topLinePunct/>
              <w:spacing w:before="100" w:beforeAutospacing="1" w:after="100" w:afterAutospacing="1" w:line="440" w:lineRule="exact"/>
              <w:jc w:val="center"/>
              <w:rPr>
                <w:rFonts w:ascii="Times New Roman" w:hAnsi="Times New Roman"/>
              </w:rPr>
            </w:pPr>
            <w:r>
              <w:rPr>
                <w:rFonts w:hint="eastAsia" w:ascii="Times New Roman" w:hAnsi="Times New Roman"/>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699360B9">
            <w:pPr>
              <w:topLinePunct/>
              <w:spacing w:line="440" w:lineRule="exact"/>
              <w:jc w:val="center"/>
              <w:rPr>
                <w:rFonts w:ascii="Times New Roman" w:hAnsi="Times New Roman"/>
              </w:rPr>
            </w:pPr>
          </w:p>
        </w:tc>
        <w:tc>
          <w:tcPr>
            <w:tcW w:w="414" w:type="dxa"/>
            <w:vMerge w:val="continue"/>
            <w:tcBorders>
              <w:left w:val="single" w:color="auto" w:sz="4" w:space="0"/>
              <w:right w:val="single" w:color="auto" w:sz="4" w:space="0"/>
            </w:tcBorders>
            <w:vAlign w:val="center"/>
          </w:tcPr>
          <w:p w14:paraId="4F3CF586">
            <w:pPr>
              <w:jc w:val="center"/>
              <w:rPr>
                <w:rFonts w:ascii="Times New Roman" w:hAnsi="Times New Roman"/>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57D9029">
            <w:pPr>
              <w:topLinePunct/>
              <w:spacing w:before="100" w:beforeAutospacing="1" w:after="100" w:afterAutospacing="1" w:line="440" w:lineRule="exact"/>
              <w:jc w:val="center"/>
              <w:rPr>
                <w:rFonts w:ascii="Times New Roman" w:hAnsi="Times New Roman"/>
              </w:rPr>
            </w:pPr>
            <w:r>
              <w:rPr>
                <w:rFonts w:hint="eastAsia" w:ascii="Times New Roman" w:hAnsi="Times New Roman"/>
                <w:szCs w:val="21"/>
              </w:rPr>
              <w:t>各类注册人员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63D3F76">
            <w:pPr>
              <w:topLinePunct/>
              <w:spacing w:line="440" w:lineRule="exact"/>
              <w:jc w:val="center"/>
              <w:rPr>
                <w:rFonts w:ascii="Times New Roman" w:hAnsi="Times New Roman"/>
              </w:rPr>
            </w:pPr>
          </w:p>
        </w:tc>
      </w:tr>
      <w:tr w14:paraId="2D585A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vAlign w:val="center"/>
          </w:tcPr>
          <w:p w14:paraId="54ABFB11">
            <w:pPr>
              <w:topLinePunct/>
              <w:spacing w:before="100" w:beforeAutospacing="1" w:after="100" w:afterAutospacing="1" w:line="440" w:lineRule="exact"/>
              <w:ind w:firstLine="210" w:firstLineChars="100"/>
              <w:jc w:val="center"/>
              <w:rPr>
                <w:rFonts w:ascii="Times New Roman" w:hAnsi="Times New Roman"/>
              </w:rPr>
            </w:pPr>
            <w:r>
              <w:rPr>
                <w:rFonts w:hint="eastAsia" w:ascii="Times New Roman" w:hAnsi="Times New Roman"/>
              </w:rPr>
              <w:t>经营范围</w:t>
            </w:r>
          </w:p>
        </w:tc>
        <w:tc>
          <w:tcPr>
            <w:tcW w:w="6840" w:type="dxa"/>
            <w:gridSpan w:val="8"/>
            <w:tcBorders>
              <w:top w:val="single" w:color="auto" w:sz="4" w:space="0"/>
              <w:left w:val="single" w:color="auto" w:sz="4" w:space="0"/>
              <w:right w:val="single" w:color="auto" w:sz="4" w:space="0"/>
            </w:tcBorders>
            <w:vAlign w:val="center"/>
          </w:tcPr>
          <w:p w14:paraId="6065799C">
            <w:pPr>
              <w:topLinePunct/>
              <w:spacing w:line="440" w:lineRule="exact"/>
              <w:jc w:val="center"/>
              <w:rPr>
                <w:rFonts w:ascii="Times New Roman" w:hAnsi="Times New Roman"/>
              </w:rPr>
            </w:pPr>
          </w:p>
        </w:tc>
      </w:tr>
      <w:tr w14:paraId="0D0D89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vAlign w:val="center"/>
          </w:tcPr>
          <w:p w14:paraId="018680EF">
            <w:pPr>
              <w:topLinePunct/>
              <w:spacing w:before="100" w:beforeAutospacing="1" w:after="100" w:afterAutospacing="1" w:line="440" w:lineRule="exact"/>
              <w:jc w:val="center"/>
              <w:rPr>
                <w:rFonts w:ascii="Times New Roman" w:hAnsi="Times New Roman"/>
              </w:rPr>
            </w:pPr>
            <w:r>
              <w:rPr>
                <w:rFonts w:hint="eastAsia" w:ascii="Times New Roman" w:hAnsi="Times New Roman"/>
                <w:szCs w:val="21"/>
              </w:rPr>
              <w:t>供应商关联企业情况（包括但不限于与供应商法定代表人为同一人或者存在控股、管理关系的不同单位）</w:t>
            </w:r>
          </w:p>
        </w:tc>
        <w:tc>
          <w:tcPr>
            <w:tcW w:w="6840" w:type="dxa"/>
            <w:gridSpan w:val="8"/>
            <w:tcBorders>
              <w:top w:val="single" w:color="auto" w:sz="4" w:space="0"/>
              <w:left w:val="single" w:color="auto" w:sz="4" w:space="0"/>
              <w:right w:val="single" w:color="auto" w:sz="4" w:space="0"/>
            </w:tcBorders>
            <w:vAlign w:val="center"/>
          </w:tcPr>
          <w:p w14:paraId="0EC67BDC">
            <w:pPr>
              <w:topLinePunct/>
              <w:spacing w:line="440" w:lineRule="exact"/>
              <w:jc w:val="center"/>
              <w:rPr>
                <w:rFonts w:ascii="Times New Roman" w:hAnsi="Times New Roman"/>
              </w:rPr>
            </w:pPr>
          </w:p>
        </w:tc>
      </w:tr>
      <w:tr w14:paraId="021285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288"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185728A">
            <w:pPr>
              <w:topLinePunct/>
              <w:spacing w:before="100" w:beforeAutospacing="1" w:after="100" w:afterAutospacing="1" w:line="440" w:lineRule="exact"/>
              <w:jc w:val="center"/>
              <w:rPr>
                <w:rFonts w:ascii="Times New Roman" w:hAnsi="Times New Roman"/>
              </w:rPr>
            </w:pPr>
            <w:r>
              <w:rPr>
                <w:rFonts w:hint="eastAsia" w:ascii="Times New Roman" w:hAnsi="Times New Roman"/>
              </w:rPr>
              <w:t>备注</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10BF6CAC">
            <w:pPr>
              <w:topLinePunct/>
              <w:spacing w:line="440" w:lineRule="exact"/>
              <w:jc w:val="center"/>
              <w:rPr>
                <w:rFonts w:ascii="Times New Roman" w:hAnsi="Times New Roman"/>
              </w:rPr>
            </w:pPr>
          </w:p>
        </w:tc>
      </w:tr>
    </w:tbl>
    <w:p w14:paraId="3D5215D0">
      <w:pPr>
        <w:spacing w:line="400" w:lineRule="exact"/>
        <w:rPr>
          <w:rFonts w:ascii="宋体" w:hAnsi="宋体" w:eastAsia="宋体"/>
        </w:rPr>
      </w:pPr>
      <w:r>
        <w:rPr>
          <w:rFonts w:ascii="宋体" w:hAnsi="宋体" w:eastAsia="宋体"/>
        </w:rPr>
        <w:t>注：</w:t>
      </w:r>
      <w:r>
        <w:rPr>
          <w:rFonts w:hint="eastAsia" w:ascii="宋体" w:hAnsi="宋体" w:eastAsia="宋体"/>
        </w:rPr>
        <w:t>供应商</w:t>
      </w:r>
      <w:r>
        <w:rPr>
          <w:rFonts w:ascii="宋体" w:hAnsi="宋体" w:eastAsia="宋体"/>
        </w:rPr>
        <w:t>应根据</w:t>
      </w:r>
      <w:r>
        <w:rPr>
          <w:rFonts w:hint="eastAsia" w:ascii="宋体" w:hAnsi="宋体" w:eastAsia="宋体"/>
        </w:rPr>
        <w:t>供应商</w:t>
      </w:r>
      <w:r>
        <w:rPr>
          <w:rFonts w:ascii="宋体" w:hAnsi="宋体" w:eastAsia="宋体"/>
        </w:rPr>
        <w:t>须知第3.5.1项的要求在本表后附相关证明材料。境内</w:t>
      </w:r>
      <w:r>
        <w:rPr>
          <w:rFonts w:hint="eastAsia" w:ascii="宋体" w:hAnsi="宋体" w:eastAsia="宋体"/>
        </w:rPr>
        <w:t>供应商</w:t>
      </w:r>
      <w:r>
        <w:rPr>
          <w:rFonts w:ascii="宋体" w:hAnsi="宋体" w:eastAsia="宋体"/>
        </w:rPr>
        <w:t>以现金或者支票形式提交</w:t>
      </w:r>
      <w:r>
        <w:rPr>
          <w:rFonts w:hint="eastAsia" w:ascii="宋体" w:hAnsi="宋体" w:eastAsia="宋体"/>
          <w:lang w:eastAsia="zh-CN"/>
        </w:rPr>
        <w:t>谈判</w:t>
      </w:r>
      <w:r>
        <w:rPr>
          <w:rFonts w:hint="eastAsia" w:ascii="宋体" w:hAnsi="宋体" w:eastAsia="宋体"/>
        </w:rPr>
        <w:t>保证金</w:t>
      </w:r>
      <w:r>
        <w:rPr>
          <w:rFonts w:ascii="宋体" w:hAnsi="宋体" w:eastAsia="宋体"/>
        </w:rPr>
        <w:t>的，还应附</w:t>
      </w:r>
      <w:r>
        <w:rPr>
          <w:rFonts w:hint="eastAsia" w:ascii="宋体" w:hAnsi="宋体" w:eastAsia="宋体" w:cs="MingLiU"/>
          <w:kern w:val="0"/>
          <w:szCs w:val="21"/>
        </w:rPr>
        <w:t>企业基本账户开户证明复印件</w:t>
      </w:r>
      <w:r>
        <w:rPr>
          <w:rFonts w:ascii="宋体" w:hAnsi="宋体" w:eastAsia="宋体"/>
        </w:rPr>
        <w:t>。</w:t>
      </w:r>
    </w:p>
    <w:p w14:paraId="289B6EE5">
      <w:pPr>
        <w:spacing w:line="440" w:lineRule="exact"/>
        <w:rPr>
          <w:rFonts w:ascii="Times New Roman" w:hAnsi="Times New Roman"/>
          <w:u w:val="single"/>
        </w:rPr>
      </w:pPr>
    </w:p>
    <w:p w14:paraId="1D1123B6">
      <w:pPr>
        <w:topLinePunct/>
        <w:spacing w:line="440" w:lineRule="exact"/>
        <w:ind w:firstLine="420" w:firstLineChars="200"/>
        <w:rPr>
          <w:rFonts w:ascii="Times New Roman" w:hAnsi="Times New Roman"/>
        </w:rPr>
      </w:pPr>
    </w:p>
    <w:p w14:paraId="4CB0AFD5">
      <w:pPr>
        <w:spacing w:line="440" w:lineRule="exact"/>
        <w:rPr>
          <w:rFonts w:ascii="Times New Roman" w:hAnsi="Times New Roman"/>
        </w:rPr>
      </w:pPr>
      <w:r>
        <w:rPr>
          <w:rFonts w:ascii="Times New Roman" w:hAnsi="Times New Roman"/>
        </w:rPr>
        <w:br w:type="page"/>
      </w:r>
    </w:p>
    <w:bookmarkEnd w:id="789"/>
    <w:p w14:paraId="626F821C">
      <w:pPr>
        <w:pStyle w:val="5"/>
        <w:ind w:firstLine="137"/>
        <w:jc w:val="center"/>
        <w:rPr>
          <w:rFonts w:ascii="宋体" w:hAnsi="宋体" w:eastAsia="宋体" w:cs="宋体"/>
        </w:rPr>
      </w:pPr>
      <w:bookmarkStart w:id="799" w:name="_Toc80884544"/>
      <w:bookmarkStart w:id="800" w:name="_Toc69937251"/>
      <w:bookmarkStart w:id="801" w:name="_Toc385943079"/>
      <w:bookmarkStart w:id="802" w:name="_Toc384308390"/>
      <w:bookmarkStart w:id="803" w:name="_Toc16204"/>
      <w:bookmarkStart w:id="804" w:name="_Toc144974873"/>
      <w:bookmarkStart w:id="805" w:name="_Toc482188668"/>
      <w:bookmarkStart w:id="806" w:name="_Toc17845"/>
      <w:bookmarkStart w:id="807" w:name="_Toc391394125"/>
      <w:bookmarkStart w:id="808" w:name="_Toc359594249"/>
      <w:bookmarkStart w:id="809" w:name="_Toc179632825"/>
      <w:bookmarkStart w:id="810" w:name="_Toc152042594"/>
      <w:bookmarkStart w:id="811" w:name="_Toc25271"/>
      <w:bookmarkStart w:id="812" w:name="_Toc152045805"/>
      <w:bookmarkStart w:id="813" w:name="_Toc370676440"/>
      <w:bookmarkStart w:id="814" w:name="_Toc300835232"/>
      <w:bookmarkStart w:id="815" w:name="_Toc74125976"/>
      <w:r>
        <w:rPr>
          <w:rFonts w:hint="eastAsia" w:ascii="宋体" w:hAnsi="宋体" w:eastAsia="宋体" w:cs="宋体"/>
        </w:rPr>
        <w:t>（</w:t>
      </w:r>
      <w:r>
        <w:rPr>
          <w:rFonts w:hint="eastAsia" w:ascii="宋体" w:hAnsi="宋体" w:eastAsia="宋体" w:cs="宋体"/>
          <w:lang w:val="en-US" w:eastAsia="zh-CN"/>
        </w:rPr>
        <w:t>二</w:t>
      </w:r>
      <w:r>
        <w:rPr>
          <w:rFonts w:hint="eastAsia" w:ascii="宋体" w:hAnsi="宋体" w:eastAsia="宋体" w:cs="宋体"/>
        </w:rPr>
        <w:t>）主要人员简历表</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tbl>
      <w:tblPr>
        <w:tblStyle w:val="4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43B2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44CF212C">
            <w:pPr>
              <w:topLinePunct/>
              <w:spacing w:line="440" w:lineRule="exact"/>
              <w:jc w:val="center"/>
              <w:rPr>
                <w:rFonts w:ascii="Times New Roman" w:hAnsi="Times New Roman"/>
              </w:rPr>
            </w:pPr>
            <w:r>
              <w:rPr>
                <w:rFonts w:hint="eastAsia" w:ascii="Times New Roman" w:hAnsi="Times New Roman"/>
              </w:rPr>
              <w:t xml:space="preserve"> 姓</w:t>
            </w:r>
            <w:r>
              <w:rPr>
                <w:rFonts w:ascii="Times New Roman" w:hAnsi="Times New Roman"/>
              </w:rPr>
              <w:t xml:space="preserve">  </w:t>
            </w:r>
            <w:r>
              <w:rPr>
                <w:rFonts w:hint="eastAsia" w:ascii="Times New Roman" w:hAnsi="Times New Roman"/>
              </w:rPr>
              <w:t>名</w:t>
            </w:r>
          </w:p>
        </w:tc>
        <w:tc>
          <w:tcPr>
            <w:tcW w:w="1048" w:type="dxa"/>
            <w:gridSpan w:val="2"/>
            <w:vAlign w:val="center"/>
          </w:tcPr>
          <w:p w14:paraId="4C297C3F">
            <w:pPr>
              <w:spacing w:line="440" w:lineRule="exact"/>
              <w:jc w:val="center"/>
              <w:rPr>
                <w:rFonts w:ascii="Times New Roman" w:hAnsi="Times New Roman"/>
              </w:rPr>
            </w:pPr>
          </w:p>
        </w:tc>
        <w:tc>
          <w:tcPr>
            <w:tcW w:w="958" w:type="dxa"/>
            <w:vAlign w:val="center"/>
          </w:tcPr>
          <w:p w14:paraId="4F3F49F0">
            <w:pPr>
              <w:spacing w:line="440" w:lineRule="exact"/>
              <w:jc w:val="center"/>
              <w:rPr>
                <w:rFonts w:ascii="Times New Roman" w:hAnsi="Times New Roman"/>
              </w:rPr>
            </w:pPr>
            <w:r>
              <w:rPr>
                <w:rFonts w:hint="eastAsia" w:ascii="Times New Roman" w:hAnsi="Times New Roman"/>
              </w:rPr>
              <w:t>年龄</w:t>
            </w:r>
          </w:p>
        </w:tc>
        <w:tc>
          <w:tcPr>
            <w:tcW w:w="1065" w:type="dxa"/>
            <w:vAlign w:val="center"/>
          </w:tcPr>
          <w:p w14:paraId="2CA750DE">
            <w:pPr>
              <w:spacing w:line="440" w:lineRule="exact"/>
              <w:jc w:val="center"/>
              <w:rPr>
                <w:rFonts w:ascii="Times New Roman" w:hAnsi="Times New Roman"/>
              </w:rPr>
            </w:pPr>
          </w:p>
        </w:tc>
        <w:tc>
          <w:tcPr>
            <w:tcW w:w="2368" w:type="dxa"/>
            <w:gridSpan w:val="3"/>
            <w:vAlign w:val="center"/>
          </w:tcPr>
          <w:p w14:paraId="7E6D2623">
            <w:pPr>
              <w:spacing w:line="440" w:lineRule="exact"/>
              <w:jc w:val="center"/>
              <w:rPr>
                <w:rFonts w:ascii="Times New Roman" w:hAnsi="Times New Roman"/>
              </w:rPr>
            </w:pPr>
            <w:r>
              <w:rPr>
                <w:rFonts w:hint="eastAsia" w:ascii="Times New Roman" w:hAnsi="Times New Roman"/>
              </w:rPr>
              <w:t>执业资格证书（或上岗证书）名称</w:t>
            </w:r>
          </w:p>
        </w:tc>
        <w:tc>
          <w:tcPr>
            <w:tcW w:w="1896" w:type="dxa"/>
            <w:vAlign w:val="center"/>
          </w:tcPr>
          <w:p w14:paraId="7A390FAD">
            <w:pPr>
              <w:spacing w:line="440" w:lineRule="exact"/>
              <w:jc w:val="center"/>
              <w:rPr>
                <w:rFonts w:ascii="Times New Roman" w:hAnsi="Times New Roman"/>
              </w:rPr>
            </w:pPr>
          </w:p>
        </w:tc>
      </w:tr>
      <w:tr w14:paraId="10BF7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6519F6E0">
            <w:pPr>
              <w:spacing w:line="440" w:lineRule="exact"/>
              <w:jc w:val="center"/>
              <w:rPr>
                <w:rFonts w:ascii="Times New Roman" w:hAnsi="Times New Roman"/>
              </w:rPr>
            </w:pPr>
            <w:r>
              <w:rPr>
                <w:rFonts w:hint="eastAsia" w:ascii="Times New Roman" w:hAnsi="Times New Roman"/>
              </w:rPr>
              <w:t>职</w:t>
            </w:r>
            <w:r>
              <w:rPr>
                <w:rFonts w:ascii="Times New Roman" w:hAnsi="Times New Roman"/>
              </w:rPr>
              <w:t xml:space="preserve">  </w:t>
            </w:r>
            <w:r>
              <w:rPr>
                <w:rFonts w:hint="eastAsia" w:ascii="Times New Roman" w:hAnsi="Times New Roman"/>
              </w:rPr>
              <w:t>称</w:t>
            </w:r>
          </w:p>
        </w:tc>
        <w:tc>
          <w:tcPr>
            <w:tcW w:w="1048" w:type="dxa"/>
            <w:gridSpan w:val="2"/>
            <w:vAlign w:val="center"/>
          </w:tcPr>
          <w:p w14:paraId="72FE0BC5">
            <w:pPr>
              <w:spacing w:line="440" w:lineRule="exact"/>
              <w:jc w:val="center"/>
              <w:rPr>
                <w:rFonts w:ascii="Times New Roman" w:hAnsi="Times New Roman"/>
              </w:rPr>
            </w:pPr>
          </w:p>
        </w:tc>
        <w:tc>
          <w:tcPr>
            <w:tcW w:w="958" w:type="dxa"/>
            <w:vAlign w:val="center"/>
          </w:tcPr>
          <w:p w14:paraId="481B6628">
            <w:pPr>
              <w:spacing w:before="100" w:beforeAutospacing="1" w:after="100" w:afterAutospacing="1" w:line="440" w:lineRule="exact"/>
              <w:jc w:val="center"/>
              <w:rPr>
                <w:rFonts w:ascii="Times New Roman" w:hAnsi="Times New Roman"/>
              </w:rPr>
            </w:pPr>
            <w:r>
              <w:rPr>
                <w:rFonts w:hint="eastAsia" w:ascii="Times New Roman" w:hAnsi="Times New Roman"/>
              </w:rPr>
              <w:t>学历</w:t>
            </w:r>
          </w:p>
        </w:tc>
        <w:tc>
          <w:tcPr>
            <w:tcW w:w="1065" w:type="dxa"/>
            <w:vAlign w:val="center"/>
          </w:tcPr>
          <w:p w14:paraId="45A12A6C">
            <w:pPr>
              <w:spacing w:line="440" w:lineRule="exact"/>
              <w:jc w:val="center"/>
              <w:rPr>
                <w:rFonts w:ascii="Times New Roman" w:hAnsi="Times New Roman"/>
              </w:rPr>
            </w:pPr>
          </w:p>
        </w:tc>
        <w:tc>
          <w:tcPr>
            <w:tcW w:w="2368" w:type="dxa"/>
            <w:gridSpan w:val="3"/>
            <w:vAlign w:val="center"/>
          </w:tcPr>
          <w:p w14:paraId="566F0E8B">
            <w:pPr>
              <w:spacing w:before="100" w:beforeAutospacing="1" w:after="100" w:afterAutospacing="1" w:line="440" w:lineRule="exact"/>
              <w:jc w:val="center"/>
              <w:rPr>
                <w:rFonts w:ascii="Times New Roman" w:hAnsi="Times New Roman"/>
              </w:rPr>
            </w:pPr>
            <w:r>
              <w:rPr>
                <w:rFonts w:hint="eastAsia" w:ascii="Times New Roman" w:hAnsi="Times New Roman"/>
              </w:rPr>
              <w:t>拟在本项目任职</w:t>
            </w:r>
          </w:p>
        </w:tc>
        <w:tc>
          <w:tcPr>
            <w:tcW w:w="1896" w:type="dxa"/>
            <w:vAlign w:val="center"/>
          </w:tcPr>
          <w:p w14:paraId="696566BB">
            <w:pPr>
              <w:spacing w:line="440" w:lineRule="exact"/>
              <w:jc w:val="center"/>
              <w:rPr>
                <w:rFonts w:ascii="Times New Roman" w:hAnsi="Times New Roman"/>
              </w:rPr>
            </w:pPr>
          </w:p>
        </w:tc>
      </w:tr>
      <w:tr w14:paraId="40297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022F55F3">
            <w:pPr>
              <w:spacing w:before="100" w:beforeAutospacing="1" w:after="100" w:afterAutospacing="1" w:line="440" w:lineRule="exact"/>
              <w:jc w:val="center"/>
              <w:rPr>
                <w:rFonts w:ascii="Times New Roman" w:hAnsi="Times New Roman"/>
              </w:rPr>
            </w:pPr>
            <w:r>
              <w:rPr>
                <w:rFonts w:hint="eastAsia" w:ascii="Times New Roman" w:hAnsi="Times New Roman"/>
              </w:rPr>
              <w:t>工作年限</w:t>
            </w:r>
          </w:p>
        </w:tc>
        <w:tc>
          <w:tcPr>
            <w:tcW w:w="3071" w:type="dxa"/>
            <w:gridSpan w:val="4"/>
            <w:vAlign w:val="center"/>
          </w:tcPr>
          <w:p w14:paraId="17C010EE">
            <w:pPr>
              <w:spacing w:line="440" w:lineRule="exact"/>
              <w:jc w:val="center"/>
              <w:rPr>
                <w:rFonts w:ascii="Times New Roman" w:hAnsi="Times New Roman"/>
              </w:rPr>
            </w:pPr>
          </w:p>
        </w:tc>
        <w:tc>
          <w:tcPr>
            <w:tcW w:w="2368" w:type="dxa"/>
            <w:gridSpan w:val="3"/>
            <w:vAlign w:val="center"/>
          </w:tcPr>
          <w:p w14:paraId="43D95D98">
            <w:pPr>
              <w:spacing w:before="100" w:beforeAutospacing="1" w:after="100" w:afterAutospacing="1" w:line="440" w:lineRule="exact"/>
              <w:jc w:val="center"/>
              <w:rPr>
                <w:rFonts w:ascii="Times New Roman" w:hAnsi="Times New Roman"/>
              </w:rPr>
            </w:pPr>
            <w:r>
              <w:rPr>
                <w:rFonts w:hint="eastAsia" w:ascii="Times New Roman" w:hAnsi="Times New Roman"/>
              </w:rPr>
              <w:t>从事设计工作年限</w:t>
            </w:r>
          </w:p>
        </w:tc>
        <w:tc>
          <w:tcPr>
            <w:tcW w:w="1896" w:type="dxa"/>
            <w:vAlign w:val="center"/>
          </w:tcPr>
          <w:p w14:paraId="34F719CE">
            <w:pPr>
              <w:spacing w:line="440" w:lineRule="exact"/>
              <w:jc w:val="center"/>
              <w:rPr>
                <w:rFonts w:ascii="Times New Roman" w:hAnsi="Times New Roman"/>
              </w:rPr>
            </w:pPr>
          </w:p>
        </w:tc>
      </w:tr>
      <w:tr w14:paraId="6345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0640756E">
            <w:pPr>
              <w:spacing w:before="100" w:beforeAutospacing="1" w:after="100" w:afterAutospacing="1" w:line="440" w:lineRule="exact"/>
              <w:jc w:val="center"/>
              <w:rPr>
                <w:rFonts w:ascii="Times New Roman" w:hAnsi="Times New Roman"/>
              </w:rPr>
            </w:pPr>
            <w:r>
              <w:rPr>
                <w:rFonts w:hint="eastAsia" w:ascii="Times New Roman" w:hAnsi="Times New Roman"/>
              </w:rPr>
              <w:t>毕业学校</w:t>
            </w:r>
          </w:p>
        </w:tc>
        <w:tc>
          <w:tcPr>
            <w:tcW w:w="7335" w:type="dxa"/>
            <w:gridSpan w:val="8"/>
            <w:vAlign w:val="center"/>
          </w:tcPr>
          <w:p w14:paraId="0DEF2830">
            <w:pPr>
              <w:spacing w:before="100" w:beforeAutospacing="1" w:after="100" w:afterAutospacing="1" w:line="440" w:lineRule="exact"/>
              <w:ind w:firstLine="1155" w:firstLineChars="550"/>
              <w:rPr>
                <w:rFonts w:ascii="Times New Roman" w:hAnsi="Times New Roman"/>
              </w:rPr>
            </w:pPr>
            <w:r>
              <w:rPr>
                <w:rFonts w:hint="eastAsia" w:ascii="Times New Roman" w:hAnsi="Times New Roman"/>
              </w:rPr>
              <w:t>年毕业于</w:t>
            </w:r>
            <w:r>
              <w:rPr>
                <w:rFonts w:ascii="Times New Roman" w:hAnsi="Times New Roman"/>
              </w:rPr>
              <w:t xml:space="preserve">            </w:t>
            </w:r>
            <w:r>
              <w:rPr>
                <w:rFonts w:hint="eastAsia" w:ascii="Times New Roman" w:hAnsi="Times New Roman"/>
              </w:rPr>
              <w:t>学校</w:t>
            </w:r>
            <w:r>
              <w:rPr>
                <w:rFonts w:ascii="Times New Roman" w:hAnsi="Times New Roman"/>
              </w:rPr>
              <w:t xml:space="preserve">        </w:t>
            </w:r>
            <w:r>
              <w:rPr>
                <w:rFonts w:hint="eastAsia" w:ascii="Times New Roman" w:hAnsi="Times New Roman"/>
              </w:rPr>
              <w:t>专业</w:t>
            </w:r>
          </w:p>
        </w:tc>
      </w:tr>
      <w:tr w14:paraId="5FED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40518760">
            <w:pPr>
              <w:spacing w:before="100" w:beforeAutospacing="1" w:after="100" w:afterAutospacing="1" w:line="440" w:lineRule="exact"/>
              <w:jc w:val="left"/>
              <w:rPr>
                <w:rFonts w:ascii="Times New Roman" w:hAnsi="Times New Roman"/>
              </w:rPr>
            </w:pPr>
            <w:r>
              <w:rPr>
                <w:rFonts w:hint="eastAsia" w:ascii="Times New Roman" w:hAnsi="Times New Roman"/>
              </w:rPr>
              <w:t>主要工作经历</w:t>
            </w:r>
          </w:p>
        </w:tc>
      </w:tr>
      <w:tr w14:paraId="66A4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1724AF1D">
            <w:pPr>
              <w:spacing w:before="100" w:beforeAutospacing="1" w:after="100" w:afterAutospacing="1" w:line="440" w:lineRule="exact"/>
              <w:jc w:val="center"/>
              <w:rPr>
                <w:rFonts w:ascii="Times New Roman" w:hAnsi="Times New Roman"/>
              </w:rPr>
            </w:pPr>
            <w:r>
              <w:rPr>
                <w:rFonts w:hint="eastAsia" w:ascii="Times New Roman" w:hAnsi="Times New Roman"/>
              </w:rPr>
              <w:t>时</w:t>
            </w:r>
            <w:r>
              <w:rPr>
                <w:rFonts w:ascii="Times New Roman" w:hAnsi="Times New Roman"/>
              </w:rPr>
              <w:t xml:space="preserve">  </w:t>
            </w:r>
            <w:r>
              <w:rPr>
                <w:rFonts w:hint="eastAsia" w:ascii="Times New Roman" w:hAnsi="Times New Roman"/>
              </w:rPr>
              <w:t>间</w:t>
            </w:r>
          </w:p>
        </w:tc>
        <w:tc>
          <w:tcPr>
            <w:tcW w:w="3420" w:type="dxa"/>
            <w:gridSpan w:val="4"/>
            <w:vAlign w:val="center"/>
          </w:tcPr>
          <w:p w14:paraId="7158D188">
            <w:pPr>
              <w:spacing w:before="100" w:beforeAutospacing="1" w:after="100" w:afterAutospacing="1" w:line="440" w:lineRule="exact"/>
              <w:jc w:val="center"/>
              <w:rPr>
                <w:rFonts w:ascii="Times New Roman" w:hAnsi="Times New Roman"/>
              </w:rPr>
            </w:pPr>
            <w:r>
              <w:rPr>
                <w:rFonts w:hint="eastAsia" w:ascii="Times New Roman" w:hAnsi="Times New Roman"/>
              </w:rPr>
              <w:t>参加过的类似项目</w:t>
            </w:r>
          </w:p>
        </w:tc>
        <w:tc>
          <w:tcPr>
            <w:tcW w:w="1261" w:type="dxa"/>
            <w:vAlign w:val="center"/>
          </w:tcPr>
          <w:p w14:paraId="5B307E9C">
            <w:pPr>
              <w:spacing w:before="100" w:beforeAutospacing="1" w:after="100" w:afterAutospacing="1" w:line="440" w:lineRule="exact"/>
              <w:jc w:val="center"/>
              <w:rPr>
                <w:rFonts w:ascii="Times New Roman" w:hAnsi="Times New Roman"/>
              </w:rPr>
            </w:pPr>
            <w:r>
              <w:rPr>
                <w:rFonts w:hint="eastAsia" w:ascii="Times New Roman" w:hAnsi="Times New Roman"/>
              </w:rPr>
              <w:t>担任职务</w:t>
            </w:r>
          </w:p>
        </w:tc>
        <w:tc>
          <w:tcPr>
            <w:tcW w:w="2297" w:type="dxa"/>
            <w:gridSpan w:val="2"/>
            <w:vAlign w:val="center"/>
          </w:tcPr>
          <w:p w14:paraId="6E43C590">
            <w:pPr>
              <w:spacing w:before="100" w:beforeAutospacing="1" w:after="100" w:afterAutospacing="1" w:line="440" w:lineRule="exact"/>
              <w:jc w:val="center"/>
              <w:rPr>
                <w:rFonts w:ascii="Times New Roman" w:hAnsi="Times New Roman"/>
              </w:rPr>
            </w:pPr>
            <w:r>
              <w:rPr>
                <w:rFonts w:hint="eastAsia" w:ascii="Times New Roman" w:hAnsi="Times New Roman"/>
              </w:rPr>
              <w:t>发包人及联系电话</w:t>
            </w:r>
          </w:p>
        </w:tc>
      </w:tr>
      <w:tr w14:paraId="037D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508360C5">
            <w:pPr>
              <w:spacing w:line="440" w:lineRule="exact"/>
              <w:rPr>
                <w:rFonts w:ascii="Times New Roman" w:hAnsi="Times New Roman"/>
              </w:rPr>
            </w:pPr>
          </w:p>
        </w:tc>
        <w:tc>
          <w:tcPr>
            <w:tcW w:w="3420" w:type="dxa"/>
            <w:gridSpan w:val="4"/>
          </w:tcPr>
          <w:p w14:paraId="0767E2BB">
            <w:pPr>
              <w:spacing w:line="440" w:lineRule="exact"/>
              <w:rPr>
                <w:rFonts w:ascii="Times New Roman" w:hAnsi="Times New Roman"/>
              </w:rPr>
            </w:pPr>
          </w:p>
        </w:tc>
        <w:tc>
          <w:tcPr>
            <w:tcW w:w="1261" w:type="dxa"/>
          </w:tcPr>
          <w:p w14:paraId="7055861C">
            <w:pPr>
              <w:spacing w:line="440" w:lineRule="exact"/>
              <w:rPr>
                <w:rFonts w:ascii="Times New Roman" w:hAnsi="Times New Roman"/>
              </w:rPr>
            </w:pPr>
          </w:p>
        </w:tc>
        <w:tc>
          <w:tcPr>
            <w:tcW w:w="2297" w:type="dxa"/>
            <w:gridSpan w:val="2"/>
          </w:tcPr>
          <w:p w14:paraId="541CB38E">
            <w:pPr>
              <w:spacing w:line="440" w:lineRule="exact"/>
              <w:rPr>
                <w:rFonts w:ascii="Times New Roman" w:hAnsi="Times New Roman"/>
              </w:rPr>
            </w:pPr>
          </w:p>
        </w:tc>
      </w:tr>
      <w:tr w14:paraId="2F2E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6C2B09B0">
            <w:pPr>
              <w:spacing w:line="440" w:lineRule="exact"/>
              <w:rPr>
                <w:rFonts w:ascii="Times New Roman" w:hAnsi="Times New Roman"/>
              </w:rPr>
            </w:pPr>
          </w:p>
        </w:tc>
        <w:tc>
          <w:tcPr>
            <w:tcW w:w="3420" w:type="dxa"/>
            <w:gridSpan w:val="4"/>
          </w:tcPr>
          <w:p w14:paraId="3460D765">
            <w:pPr>
              <w:spacing w:line="440" w:lineRule="exact"/>
              <w:rPr>
                <w:rFonts w:ascii="Times New Roman" w:hAnsi="Times New Roman"/>
              </w:rPr>
            </w:pPr>
          </w:p>
        </w:tc>
        <w:tc>
          <w:tcPr>
            <w:tcW w:w="1261" w:type="dxa"/>
          </w:tcPr>
          <w:p w14:paraId="548766F0">
            <w:pPr>
              <w:spacing w:line="440" w:lineRule="exact"/>
              <w:rPr>
                <w:rFonts w:ascii="Times New Roman" w:hAnsi="Times New Roman"/>
              </w:rPr>
            </w:pPr>
          </w:p>
        </w:tc>
        <w:tc>
          <w:tcPr>
            <w:tcW w:w="2297" w:type="dxa"/>
            <w:gridSpan w:val="2"/>
          </w:tcPr>
          <w:p w14:paraId="21A6051D">
            <w:pPr>
              <w:spacing w:line="440" w:lineRule="exact"/>
              <w:rPr>
                <w:rFonts w:ascii="Times New Roman" w:hAnsi="Times New Roman"/>
              </w:rPr>
            </w:pPr>
          </w:p>
        </w:tc>
      </w:tr>
      <w:tr w14:paraId="772D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0B17F225">
            <w:pPr>
              <w:spacing w:line="440" w:lineRule="exact"/>
              <w:rPr>
                <w:rFonts w:ascii="Times New Roman" w:hAnsi="Times New Roman"/>
              </w:rPr>
            </w:pPr>
          </w:p>
        </w:tc>
        <w:tc>
          <w:tcPr>
            <w:tcW w:w="3420" w:type="dxa"/>
            <w:gridSpan w:val="4"/>
          </w:tcPr>
          <w:p w14:paraId="1BE9F458">
            <w:pPr>
              <w:spacing w:line="440" w:lineRule="exact"/>
              <w:rPr>
                <w:rFonts w:ascii="Times New Roman" w:hAnsi="Times New Roman"/>
              </w:rPr>
            </w:pPr>
          </w:p>
        </w:tc>
        <w:tc>
          <w:tcPr>
            <w:tcW w:w="1261" w:type="dxa"/>
          </w:tcPr>
          <w:p w14:paraId="5A8AC787">
            <w:pPr>
              <w:spacing w:line="440" w:lineRule="exact"/>
              <w:rPr>
                <w:rFonts w:ascii="Times New Roman" w:hAnsi="Times New Roman"/>
              </w:rPr>
            </w:pPr>
          </w:p>
        </w:tc>
        <w:tc>
          <w:tcPr>
            <w:tcW w:w="2297" w:type="dxa"/>
            <w:gridSpan w:val="2"/>
          </w:tcPr>
          <w:p w14:paraId="13F54F03">
            <w:pPr>
              <w:spacing w:line="440" w:lineRule="exact"/>
              <w:rPr>
                <w:rFonts w:ascii="Times New Roman" w:hAnsi="Times New Roman"/>
              </w:rPr>
            </w:pPr>
          </w:p>
        </w:tc>
      </w:tr>
      <w:tr w14:paraId="3D6F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2972C60">
            <w:pPr>
              <w:spacing w:line="440" w:lineRule="exact"/>
              <w:rPr>
                <w:rFonts w:ascii="Times New Roman" w:hAnsi="Times New Roman"/>
              </w:rPr>
            </w:pPr>
          </w:p>
        </w:tc>
        <w:tc>
          <w:tcPr>
            <w:tcW w:w="3420" w:type="dxa"/>
            <w:gridSpan w:val="4"/>
            <w:vAlign w:val="center"/>
          </w:tcPr>
          <w:p w14:paraId="58406D00">
            <w:pPr>
              <w:spacing w:line="440" w:lineRule="exact"/>
              <w:rPr>
                <w:rFonts w:ascii="Times New Roman" w:hAnsi="Times New Roman"/>
              </w:rPr>
            </w:pPr>
          </w:p>
        </w:tc>
        <w:tc>
          <w:tcPr>
            <w:tcW w:w="1261" w:type="dxa"/>
            <w:vAlign w:val="center"/>
          </w:tcPr>
          <w:p w14:paraId="6A11AD6F">
            <w:pPr>
              <w:spacing w:line="440" w:lineRule="exact"/>
              <w:rPr>
                <w:rFonts w:ascii="Times New Roman" w:hAnsi="Times New Roman"/>
              </w:rPr>
            </w:pPr>
          </w:p>
        </w:tc>
        <w:tc>
          <w:tcPr>
            <w:tcW w:w="2297" w:type="dxa"/>
            <w:gridSpan w:val="2"/>
            <w:vAlign w:val="center"/>
          </w:tcPr>
          <w:p w14:paraId="31CFEB6E">
            <w:pPr>
              <w:spacing w:line="440" w:lineRule="exact"/>
              <w:rPr>
                <w:rFonts w:ascii="Times New Roman" w:hAnsi="Times New Roman"/>
              </w:rPr>
            </w:pPr>
          </w:p>
        </w:tc>
      </w:tr>
      <w:tr w14:paraId="7D14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0E5BAAC3">
            <w:pPr>
              <w:spacing w:line="440" w:lineRule="exact"/>
              <w:rPr>
                <w:rFonts w:ascii="Times New Roman" w:hAnsi="Times New Roman"/>
              </w:rPr>
            </w:pPr>
          </w:p>
        </w:tc>
        <w:tc>
          <w:tcPr>
            <w:tcW w:w="3420" w:type="dxa"/>
            <w:gridSpan w:val="4"/>
            <w:vAlign w:val="center"/>
          </w:tcPr>
          <w:p w14:paraId="03CADC93">
            <w:pPr>
              <w:spacing w:line="440" w:lineRule="exact"/>
              <w:rPr>
                <w:rFonts w:ascii="Times New Roman" w:hAnsi="Times New Roman"/>
              </w:rPr>
            </w:pPr>
          </w:p>
        </w:tc>
        <w:tc>
          <w:tcPr>
            <w:tcW w:w="1261" w:type="dxa"/>
            <w:vAlign w:val="center"/>
          </w:tcPr>
          <w:p w14:paraId="0AC490E7">
            <w:pPr>
              <w:spacing w:line="440" w:lineRule="exact"/>
              <w:rPr>
                <w:rFonts w:ascii="Times New Roman" w:hAnsi="Times New Roman"/>
              </w:rPr>
            </w:pPr>
          </w:p>
        </w:tc>
        <w:tc>
          <w:tcPr>
            <w:tcW w:w="2297" w:type="dxa"/>
            <w:gridSpan w:val="2"/>
            <w:vAlign w:val="center"/>
          </w:tcPr>
          <w:p w14:paraId="17408561">
            <w:pPr>
              <w:spacing w:line="440" w:lineRule="exact"/>
              <w:rPr>
                <w:rFonts w:ascii="Times New Roman" w:hAnsi="Times New Roman"/>
              </w:rPr>
            </w:pPr>
          </w:p>
        </w:tc>
      </w:tr>
      <w:tr w14:paraId="219D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70A2AB05">
            <w:pPr>
              <w:spacing w:line="440" w:lineRule="exact"/>
              <w:rPr>
                <w:rFonts w:ascii="Times New Roman" w:hAnsi="Times New Roman"/>
              </w:rPr>
            </w:pPr>
          </w:p>
        </w:tc>
        <w:tc>
          <w:tcPr>
            <w:tcW w:w="3420" w:type="dxa"/>
            <w:gridSpan w:val="4"/>
            <w:vAlign w:val="center"/>
          </w:tcPr>
          <w:p w14:paraId="2081293A">
            <w:pPr>
              <w:spacing w:line="440" w:lineRule="exact"/>
              <w:rPr>
                <w:rFonts w:ascii="Times New Roman" w:hAnsi="Times New Roman"/>
              </w:rPr>
            </w:pPr>
          </w:p>
        </w:tc>
        <w:tc>
          <w:tcPr>
            <w:tcW w:w="1261" w:type="dxa"/>
            <w:vAlign w:val="center"/>
          </w:tcPr>
          <w:p w14:paraId="1A9361B9">
            <w:pPr>
              <w:spacing w:line="440" w:lineRule="exact"/>
              <w:rPr>
                <w:rFonts w:ascii="Times New Roman" w:hAnsi="Times New Roman"/>
              </w:rPr>
            </w:pPr>
          </w:p>
        </w:tc>
        <w:tc>
          <w:tcPr>
            <w:tcW w:w="2297" w:type="dxa"/>
            <w:gridSpan w:val="2"/>
            <w:vAlign w:val="center"/>
          </w:tcPr>
          <w:p w14:paraId="72A0966D">
            <w:pPr>
              <w:spacing w:line="440" w:lineRule="exact"/>
              <w:rPr>
                <w:rFonts w:ascii="Times New Roman" w:hAnsi="Times New Roman"/>
              </w:rPr>
            </w:pPr>
          </w:p>
        </w:tc>
      </w:tr>
      <w:tr w14:paraId="76C8D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1EA48B0F">
            <w:pPr>
              <w:spacing w:line="440" w:lineRule="exact"/>
              <w:rPr>
                <w:rFonts w:ascii="Times New Roman" w:hAnsi="Times New Roman"/>
              </w:rPr>
            </w:pPr>
          </w:p>
        </w:tc>
        <w:tc>
          <w:tcPr>
            <w:tcW w:w="3420" w:type="dxa"/>
            <w:gridSpan w:val="4"/>
            <w:vAlign w:val="center"/>
          </w:tcPr>
          <w:p w14:paraId="07A545D7">
            <w:pPr>
              <w:spacing w:line="440" w:lineRule="exact"/>
              <w:rPr>
                <w:rFonts w:ascii="Times New Roman" w:hAnsi="Times New Roman"/>
              </w:rPr>
            </w:pPr>
          </w:p>
        </w:tc>
        <w:tc>
          <w:tcPr>
            <w:tcW w:w="1261" w:type="dxa"/>
            <w:vAlign w:val="center"/>
          </w:tcPr>
          <w:p w14:paraId="60129C20">
            <w:pPr>
              <w:spacing w:line="440" w:lineRule="exact"/>
              <w:rPr>
                <w:rFonts w:ascii="Times New Roman" w:hAnsi="Times New Roman"/>
              </w:rPr>
            </w:pPr>
          </w:p>
        </w:tc>
        <w:tc>
          <w:tcPr>
            <w:tcW w:w="2297" w:type="dxa"/>
            <w:gridSpan w:val="2"/>
            <w:vAlign w:val="center"/>
          </w:tcPr>
          <w:p w14:paraId="64ED2F3A">
            <w:pPr>
              <w:spacing w:line="440" w:lineRule="exact"/>
              <w:rPr>
                <w:rFonts w:ascii="Times New Roman" w:hAnsi="Times New Roman"/>
              </w:rPr>
            </w:pPr>
          </w:p>
        </w:tc>
      </w:tr>
    </w:tbl>
    <w:p w14:paraId="0CD2CFAE">
      <w:pPr>
        <w:spacing w:line="440" w:lineRule="exact"/>
        <w:rPr>
          <w:rFonts w:ascii="Times New Roman" w:hAnsi="Times New Roman"/>
        </w:rPr>
      </w:pPr>
      <w:r>
        <w:rPr>
          <w:rFonts w:ascii="Times New Roman" w:hAnsi="Times New Roman"/>
        </w:rPr>
        <w:t>注：</w:t>
      </w:r>
      <w:r>
        <w:rPr>
          <w:rFonts w:hint="eastAsia" w:ascii="Times New Roman" w:hAnsi="Times New Roman"/>
        </w:rPr>
        <w:t>供应商</w:t>
      </w:r>
      <w:r>
        <w:rPr>
          <w:rFonts w:ascii="Times New Roman" w:hAnsi="Times New Roman"/>
        </w:rPr>
        <w:t>应根据</w:t>
      </w:r>
      <w:r>
        <w:rPr>
          <w:rFonts w:hint="eastAsia" w:ascii="Times New Roman" w:hAnsi="Times New Roman"/>
        </w:rPr>
        <w:t>供应商</w:t>
      </w:r>
      <w:r>
        <w:rPr>
          <w:rFonts w:ascii="Times New Roman" w:hAnsi="Times New Roman"/>
        </w:rPr>
        <w:t>须知第3.5.</w:t>
      </w:r>
      <w:r>
        <w:rPr>
          <w:rFonts w:hint="eastAsia" w:ascii="Times New Roman" w:hAnsi="Times New Roman"/>
        </w:rPr>
        <w:t>6</w:t>
      </w:r>
      <w:r>
        <w:rPr>
          <w:rFonts w:ascii="Times New Roman" w:hAnsi="Times New Roman"/>
        </w:rPr>
        <w:t>项的要求在本表后附相关证明材料。</w:t>
      </w:r>
    </w:p>
    <w:p w14:paraId="1B154A04">
      <w:pPr>
        <w:jc w:val="center"/>
        <w:outlineLvl w:val="2"/>
        <w:rPr>
          <w:rFonts w:ascii="宋体" w:hAnsi="宋体" w:eastAsia="宋体" w:cs="宋体"/>
        </w:rPr>
      </w:pPr>
      <w:r>
        <w:rPr>
          <w:rFonts w:ascii="Times New Roman" w:hAnsi="Times New Roman"/>
        </w:rPr>
        <w:br w:type="page"/>
      </w:r>
      <w:bookmarkStart w:id="816" w:name="_Toc9330"/>
      <w:bookmarkStart w:id="817" w:name="_Toc480461278"/>
      <w:bookmarkStart w:id="818" w:name="_Toc16695"/>
      <w:bookmarkStart w:id="819" w:name="_Toc492419673"/>
      <w:bookmarkStart w:id="820" w:name="_Toc7214"/>
      <w:bookmarkStart w:id="821" w:name="_Toc80884545"/>
      <w:bookmarkStart w:id="822" w:name="_Toc69937252"/>
      <w:bookmarkStart w:id="823" w:name="_Toc74125977"/>
      <w:bookmarkStart w:id="824" w:name="_Toc21559"/>
      <w:bookmarkStart w:id="825" w:name="_Toc352703741"/>
      <w:bookmarkStart w:id="826" w:name="_Toc300835229"/>
      <w:r>
        <w:rPr>
          <w:rFonts w:hint="eastAsia" w:ascii="宋体" w:hAnsi="宋体" w:eastAsia="宋体" w:cs="宋体"/>
          <w:sz w:val="28"/>
          <w:szCs w:val="20"/>
        </w:rPr>
        <w:t>（</w:t>
      </w:r>
      <w:r>
        <w:rPr>
          <w:rFonts w:hint="eastAsia" w:ascii="宋体" w:hAnsi="宋体" w:cs="宋体"/>
          <w:sz w:val="28"/>
          <w:szCs w:val="20"/>
          <w:lang w:val="en-US" w:eastAsia="zh-CN"/>
        </w:rPr>
        <w:t>三</w:t>
      </w:r>
      <w:r>
        <w:rPr>
          <w:rFonts w:hint="eastAsia" w:ascii="宋体" w:hAnsi="宋体" w:eastAsia="宋体" w:cs="宋体"/>
          <w:sz w:val="28"/>
          <w:szCs w:val="20"/>
        </w:rPr>
        <w:t>）</w:t>
      </w:r>
      <w:bookmarkEnd w:id="816"/>
      <w:bookmarkEnd w:id="817"/>
      <w:bookmarkEnd w:id="818"/>
      <w:bookmarkEnd w:id="819"/>
      <w:r>
        <w:rPr>
          <w:rFonts w:hint="eastAsia" w:ascii="宋体" w:hAnsi="宋体" w:eastAsia="宋体" w:cs="宋体"/>
          <w:sz w:val="28"/>
          <w:szCs w:val="20"/>
        </w:rPr>
        <w:t>信誉要求</w:t>
      </w:r>
      <w:bookmarkEnd w:id="820"/>
      <w:bookmarkEnd w:id="821"/>
      <w:bookmarkEnd w:id="822"/>
      <w:bookmarkEnd w:id="823"/>
      <w:bookmarkEnd w:id="824"/>
    </w:p>
    <w:p w14:paraId="413312E0">
      <w:pPr>
        <w:spacing w:line="440" w:lineRule="exact"/>
        <w:jc w:val="center"/>
        <w:rPr>
          <w:rFonts w:ascii="Times New Roman" w:hAnsi="Times New Roman"/>
        </w:rPr>
      </w:pPr>
      <w:r>
        <w:rPr>
          <w:rFonts w:hint="eastAsia" w:ascii="Times New Roman" w:hAnsi="Times New Roman"/>
        </w:rPr>
        <w:t>（必须响应供应商须知前附表1.4.1款中的信誉要求，承诺书格式自拟）</w:t>
      </w:r>
    </w:p>
    <w:p w14:paraId="0AAB6D4B">
      <w:pPr>
        <w:ind w:firstLine="420" w:firstLineChars="0"/>
      </w:pPr>
      <w:r>
        <w:br w:type="page"/>
      </w:r>
    </w:p>
    <w:bookmarkEnd w:id="825"/>
    <w:bookmarkEnd w:id="826"/>
    <w:p w14:paraId="566E4FBA">
      <w:pPr>
        <w:pStyle w:val="4"/>
        <w:spacing w:after="0"/>
        <w:jc w:val="center"/>
        <w:rPr>
          <w:rFonts w:hint="eastAsia" w:ascii="宋体" w:hAnsi="宋体" w:eastAsia="宋体" w:cs="宋体"/>
          <w:lang w:val="en-US" w:eastAsia="zh-CN"/>
        </w:rPr>
        <w:sectPr>
          <w:pgSz w:w="12240" w:h="15840"/>
          <w:pgMar w:top="1440" w:right="1800" w:bottom="1440" w:left="1800" w:header="720" w:footer="720" w:gutter="0"/>
          <w:pgNumType w:fmt="decimal"/>
          <w:cols w:space="720" w:num="1"/>
          <w:docGrid w:linePitch="285" w:charSpace="0"/>
        </w:sectPr>
      </w:pPr>
      <w:bookmarkStart w:id="827" w:name="_Toc74125979"/>
      <w:bookmarkStart w:id="828" w:name="_Toc25935"/>
      <w:bookmarkStart w:id="829" w:name="_Toc80884547"/>
      <w:bookmarkStart w:id="830" w:name="_Toc11957"/>
      <w:bookmarkStart w:id="831" w:name="_Toc69937254"/>
      <w:bookmarkStart w:id="832" w:name="_Toc229"/>
      <w:r>
        <w:rPr>
          <w:rFonts w:hint="eastAsia" w:ascii="宋体" w:hAnsi="宋体" w:eastAsia="宋体" w:cs="宋体"/>
          <w:sz w:val="36"/>
          <w:szCs w:val="36"/>
          <w:lang w:val="en-US" w:eastAsia="zh-CN"/>
        </w:rPr>
        <w:t>五、技术参数响应</w:t>
      </w:r>
    </w:p>
    <w:p w14:paraId="20984993">
      <w:pPr>
        <w:pStyle w:val="4"/>
        <w:spacing w:after="0"/>
        <w:jc w:val="center"/>
        <w:rPr>
          <w:rFonts w:ascii="宋体" w:hAnsi="宋体" w:eastAsia="宋体" w:cs="宋体"/>
        </w:rPr>
      </w:pPr>
      <w:r>
        <w:rPr>
          <w:rFonts w:hint="eastAsia" w:ascii="宋体" w:hAnsi="宋体" w:eastAsia="宋体" w:cs="宋体"/>
          <w:lang w:val="en-US" w:eastAsia="zh-CN"/>
        </w:rPr>
        <w:t>六</w:t>
      </w:r>
      <w:r>
        <w:rPr>
          <w:rFonts w:hint="eastAsia" w:ascii="宋体" w:hAnsi="宋体" w:eastAsia="宋体" w:cs="宋体"/>
        </w:rPr>
        <w:t>、其他资料</w:t>
      </w:r>
      <w:bookmarkEnd w:id="827"/>
      <w:bookmarkEnd w:id="828"/>
      <w:bookmarkEnd w:id="829"/>
      <w:bookmarkEnd w:id="830"/>
      <w:bookmarkEnd w:id="831"/>
      <w:bookmarkEnd w:id="832"/>
    </w:p>
    <w:p w14:paraId="3088B4A9">
      <w:pPr>
        <w:rPr>
          <w:rFonts w:ascii="Times New Roman" w:hAnsi="Times New Roman"/>
        </w:rPr>
      </w:pPr>
    </w:p>
    <w:p w14:paraId="20F762B9">
      <w:pPr>
        <w:rPr>
          <w:rFonts w:ascii="Times New Roman" w:hAnsi="Times New Roman"/>
        </w:rPr>
      </w:pPr>
    </w:p>
    <w:p w14:paraId="02ED1BBC">
      <w:pPr>
        <w:rPr>
          <w:rFonts w:ascii="Times New Roman" w:hAnsi="Times New Roman"/>
        </w:rPr>
      </w:pPr>
    </w:p>
    <w:p w14:paraId="089B69F9">
      <w:pPr>
        <w:rPr>
          <w:rFonts w:ascii="Times New Roman" w:hAnsi="Times New Roman"/>
        </w:rPr>
      </w:pPr>
    </w:p>
    <w:p w14:paraId="6009CA08">
      <w:pPr>
        <w:rPr>
          <w:rFonts w:ascii="Times New Roman" w:hAnsi="Times New Roman"/>
        </w:rPr>
      </w:pPr>
    </w:p>
    <w:p w14:paraId="3924AB31">
      <w:pPr>
        <w:rPr>
          <w:rFonts w:ascii="Times New Roman" w:hAnsi="Times New Roman"/>
        </w:rPr>
      </w:pPr>
    </w:p>
    <w:p w14:paraId="23DEC5EE">
      <w:pPr>
        <w:pStyle w:val="26"/>
        <w:rPr>
          <w:rFonts w:ascii="Times New Roman" w:hAnsi="Times New Roman"/>
        </w:rPr>
      </w:pPr>
    </w:p>
    <w:sectPr>
      <w:pgSz w:w="12240" w:h="15840"/>
      <w:pgMar w:top="1440" w:right="1800" w:bottom="1440" w:left="1800" w:header="720" w:footer="720" w:gutter="0"/>
      <w:pgNumType w:fmt="decimal"/>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8B7CEA1-14BA-4033-8AB0-5DD14CB4DF1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72B474D1-E7E5-4BA7-9AD6-2B376E5424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7E44744D-D804-4CE0-8EE4-74257B4A767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4" w:fontKey="{FE6EA9A8-F2C3-41E7-845E-CA14F234098D}"/>
  </w:font>
  <w:font w:name="MingLiU">
    <w:panose1 w:val="02020509000000000000"/>
    <w:charset w:val="88"/>
    <w:family w:val="modern"/>
    <w:pitch w:val="default"/>
    <w:sig w:usb0="A00002FF" w:usb1="28CFFCFA" w:usb2="00000016" w:usb3="00000000" w:csb0="00100001" w:csb1="00000000"/>
    <w:embedRegular r:id="rId5" w:fontKey="{EB4F8587-453B-45AD-8115-CC6AF017BFCB}"/>
  </w:font>
  <w:font w:name="方正仿宋_GBK">
    <w:panose1 w:val="03000509000000000000"/>
    <w:charset w:val="86"/>
    <w:family w:val="script"/>
    <w:pitch w:val="default"/>
    <w:sig w:usb0="00000001" w:usb1="080E0000" w:usb2="00000000" w:usb3="00000000" w:csb0="00040000" w:csb1="00000000"/>
    <w:embedRegular r:id="rId6" w:fontKey="{8C3EAE8A-C610-4341-910D-C2B554DBC5BA}"/>
  </w:font>
  <w:font w:name="微软雅黑">
    <w:panose1 w:val="020B0503020204020204"/>
    <w:charset w:val="86"/>
    <w:family w:val="auto"/>
    <w:pitch w:val="default"/>
    <w:sig w:usb0="80000287" w:usb1="2ACF3C50" w:usb2="00000016" w:usb3="00000000" w:csb0="0004001F" w:csb1="00000000"/>
    <w:embedRegular r:id="rId7" w:fontKey="{596F81ED-C0DE-4B92-B73B-11DD6CBA3EBC}"/>
  </w:font>
  <w:font w:name="仿宋">
    <w:panose1 w:val="02010609060101010101"/>
    <w:charset w:val="86"/>
    <w:family w:val="auto"/>
    <w:pitch w:val="default"/>
    <w:sig w:usb0="800002BF" w:usb1="38CF7CFA" w:usb2="00000016" w:usb3="00000000" w:csb0="00040001" w:csb1="00000000"/>
    <w:embedRegular r:id="rId8" w:fontKey="{1797C563-EEB2-4FE3-82F1-C418B9D8E481}"/>
  </w:font>
  <w:font w:name="方正黑体_GBK">
    <w:panose1 w:val="03000509000000000000"/>
    <w:charset w:val="86"/>
    <w:family w:val="auto"/>
    <w:pitch w:val="default"/>
    <w:sig w:usb0="00000001" w:usb1="080E0000" w:usb2="00000000" w:usb3="00000000" w:csb0="00040000" w:csb1="00000000"/>
    <w:embedRegular r:id="rId9" w:fontKey="{F4924BB6-A5DC-42A7-A512-1225655582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0759">
    <w:pPr>
      <w:pStyle w:val="26"/>
      <w:tabs>
        <w:tab w:val="center" w:pos="4320"/>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E5EFF8">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18E5EFF8">
                    <w:pPr>
                      <w:pStyle w:val="26"/>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3666">
    <w:pPr>
      <w:pStyle w:val="26"/>
      <w:ind w:firstLine="0" w:firstLineChars="0"/>
      <w:rPr>
        <w:rStyle w:val="44"/>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DAD904">
                          <w:pPr>
                            <w:pStyle w:val="2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53DAD904">
                    <w:pPr>
                      <w:pStyle w:val="2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D48D2">
    <w:pPr>
      <w:pStyle w:val="26"/>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B10F98">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56B10F98">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FA765">
    <w:pPr>
      <w:pStyle w:val="26"/>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5B0991">
                          <w:pPr>
                            <w:pStyle w:val="26"/>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165B0991">
                    <w:pPr>
                      <w:pStyle w:val="2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AB4FE">
    <w:pPr>
      <w:pStyle w:val="26"/>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29680C">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5629680C">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7B9CC">
    <w:pPr>
      <w:pStyle w:val="26"/>
      <w:ind w:firstLine="0" w:firstLineChars="0"/>
      <w:rPr>
        <w:rStyle w:val="44"/>
        <w:rFonts w:hint="eastAsia"/>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C8C0A">
                          <w:pPr>
                            <w:pStyle w:val="26"/>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271C8C0A">
                    <w:pPr>
                      <w:pStyle w:val="26"/>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DD860">
    <w:pPr>
      <w:pStyle w:val="26"/>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0FCB65">
                          <w:pPr>
                            <w:pStyle w:val="26"/>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3D0FCB65">
                    <w:pPr>
                      <w:pStyle w:val="26"/>
                    </w:pPr>
                    <w:r>
                      <w:fldChar w:fldCharType="begin"/>
                    </w:r>
                    <w:r>
                      <w:instrText xml:space="preserve"> PAGE  \* MERGEFORMAT </w:instrText>
                    </w:r>
                    <w:r>
                      <w:fldChar w:fldCharType="separate"/>
                    </w:r>
                    <w:r>
                      <w:t>66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48A3C">
    <w:pPr>
      <w:pStyle w:val="27"/>
      <w:rPr>
        <w:rFonts w:hint="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F6321">
    <w:pPr>
      <w:pStyle w:val="27"/>
      <w:rPr>
        <w:rFonts w:hint="eastAsia"/>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BC0B2">
    <w:pPr>
      <w:pStyle w:val="27"/>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15D2F"/>
    <w:multiLevelType w:val="singleLevel"/>
    <w:tmpl w:val="C1B15D2F"/>
    <w:lvl w:ilvl="0" w:tentative="0">
      <w:start w:val="2"/>
      <w:numFmt w:val="decimal"/>
      <w:suff w:val="space"/>
      <w:lvlText w:val="%1."/>
      <w:lvlJc w:val="left"/>
    </w:lvl>
  </w:abstractNum>
  <w:abstractNum w:abstractNumId="1">
    <w:nsid w:val="D6A395E3"/>
    <w:multiLevelType w:val="singleLevel"/>
    <w:tmpl w:val="D6A395E3"/>
    <w:lvl w:ilvl="0" w:tentative="0">
      <w:start w:val="1"/>
      <w:numFmt w:val="chineseCounting"/>
      <w:suff w:val="nothing"/>
      <w:lvlText w:val="%1、"/>
      <w:lvlJc w:val="left"/>
      <w:pPr>
        <w:ind w:left="0" w:firstLine="420"/>
      </w:pPr>
      <w:rPr>
        <w:rFonts w:hint="eastAsia"/>
      </w:rPr>
    </w:lvl>
  </w:abstractNum>
  <w:abstractNum w:abstractNumId="2">
    <w:nsid w:val="00000000"/>
    <w:multiLevelType w:val="singleLevel"/>
    <w:tmpl w:val="00000000"/>
    <w:lvl w:ilvl="0" w:tentative="0">
      <w:start w:val="2"/>
      <w:numFmt w:val="chineseCounting"/>
      <w:suff w:val="space"/>
      <w:lvlText w:val="第%1章"/>
      <w:lvlJc w:val="left"/>
      <w:rPr>
        <w:rFonts w:hint="eastAsia"/>
      </w:rPr>
    </w:lvl>
  </w:abstractNum>
  <w:abstractNum w:abstractNumId="3">
    <w:nsid w:val="2AF814B0"/>
    <w:multiLevelType w:val="singleLevel"/>
    <w:tmpl w:val="2AF814B0"/>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0ZWIzYWY2ZWYyNjc5NmI4ZGY1ZWQyZDVhNGRkNDcifQ=="/>
  </w:docVars>
  <w:rsids>
    <w:rsidRoot w:val="00000000"/>
    <w:rsid w:val="04E15802"/>
    <w:rsid w:val="08332819"/>
    <w:rsid w:val="09DE4E4B"/>
    <w:rsid w:val="13620456"/>
    <w:rsid w:val="16FE1273"/>
    <w:rsid w:val="17343EB7"/>
    <w:rsid w:val="17752C9A"/>
    <w:rsid w:val="19223211"/>
    <w:rsid w:val="196640D0"/>
    <w:rsid w:val="1A257EA7"/>
    <w:rsid w:val="1AD02149"/>
    <w:rsid w:val="1D4110DC"/>
    <w:rsid w:val="1DAA3910"/>
    <w:rsid w:val="1E7D7EF2"/>
    <w:rsid w:val="208A0FEC"/>
    <w:rsid w:val="22E45021"/>
    <w:rsid w:val="23767606"/>
    <w:rsid w:val="239161EE"/>
    <w:rsid w:val="26871AC1"/>
    <w:rsid w:val="29BB2216"/>
    <w:rsid w:val="2C3D6F12"/>
    <w:rsid w:val="2F4607D4"/>
    <w:rsid w:val="30850E88"/>
    <w:rsid w:val="33DB558A"/>
    <w:rsid w:val="34A704DC"/>
    <w:rsid w:val="36154A5C"/>
    <w:rsid w:val="37DE77FC"/>
    <w:rsid w:val="3842549E"/>
    <w:rsid w:val="38C8225A"/>
    <w:rsid w:val="3A033549"/>
    <w:rsid w:val="3B230D06"/>
    <w:rsid w:val="3C103F90"/>
    <w:rsid w:val="40D40AD0"/>
    <w:rsid w:val="41F01861"/>
    <w:rsid w:val="442D63F0"/>
    <w:rsid w:val="464A2500"/>
    <w:rsid w:val="4A2512BA"/>
    <w:rsid w:val="4DDC4386"/>
    <w:rsid w:val="55980361"/>
    <w:rsid w:val="55E262B1"/>
    <w:rsid w:val="56982E14"/>
    <w:rsid w:val="58FA3FF6"/>
    <w:rsid w:val="592C5A04"/>
    <w:rsid w:val="5C307F69"/>
    <w:rsid w:val="5F8A25C5"/>
    <w:rsid w:val="60591866"/>
    <w:rsid w:val="60651FB9"/>
    <w:rsid w:val="66BE2423"/>
    <w:rsid w:val="68294213"/>
    <w:rsid w:val="688B4586"/>
    <w:rsid w:val="6B452EFD"/>
    <w:rsid w:val="6E751F61"/>
    <w:rsid w:val="6FEE1FCA"/>
    <w:rsid w:val="70EE5FFA"/>
    <w:rsid w:val="72DF5BFA"/>
    <w:rsid w:val="73497518"/>
    <w:rsid w:val="75385F49"/>
    <w:rsid w:val="75FB71EF"/>
    <w:rsid w:val="76CF5F86"/>
    <w:rsid w:val="78FF0DA4"/>
    <w:rsid w:val="7B876DC5"/>
    <w:rsid w:val="7D4476CE"/>
    <w:rsid w:val="7E8D3F6B"/>
    <w:rsid w:val="7FE42A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50"/>
    <w:qFormat/>
    <w:uiPriority w:val="0"/>
    <w:pPr>
      <w:keepNext/>
      <w:keepLines/>
      <w:spacing w:before="340" w:after="330" w:line="576" w:lineRule="auto"/>
      <w:outlineLvl w:val="0"/>
    </w:pPr>
    <w:rPr>
      <w:rFonts w:ascii="Times New Roman" w:hAnsi="Times New Roman"/>
      <w:b/>
      <w:kern w:val="44"/>
      <w:sz w:val="44"/>
      <w:szCs w:val="20"/>
    </w:rPr>
  </w:style>
  <w:style w:type="paragraph" w:styleId="4">
    <w:name w:val="heading 2"/>
    <w:basedOn w:val="1"/>
    <w:next w:val="1"/>
    <w:link w:val="51"/>
    <w:qFormat/>
    <w:uiPriority w:val="0"/>
    <w:pPr>
      <w:keepNext/>
      <w:keepLines/>
      <w:spacing w:before="260" w:after="260" w:line="412" w:lineRule="auto"/>
      <w:outlineLvl w:val="1"/>
    </w:pPr>
    <w:rPr>
      <w:rFonts w:ascii="Arial" w:hAnsi="Arial" w:eastAsia="黑体"/>
      <w:b/>
      <w:sz w:val="32"/>
      <w:szCs w:val="20"/>
    </w:rPr>
  </w:style>
  <w:style w:type="paragraph" w:styleId="5">
    <w:name w:val="heading 3"/>
    <w:basedOn w:val="1"/>
    <w:next w:val="1"/>
    <w:link w:val="52"/>
    <w:qFormat/>
    <w:uiPriority w:val="0"/>
    <w:pPr>
      <w:keepNext/>
      <w:keepLines/>
      <w:spacing w:before="260" w:after="260" w:line="412" w:lineRule="auto"/>
      <w:ind w:firstLine="49" w:firstLineChars="49"/>
      <w:outlineLvl w:val="2"/>
    </w:pPr>
    <w:rPr>
      <w:rFonts w:ascii="黑体" w:eastAsia="黑体"/>
      <w:sz w:val="28"/>
      <w:szCs w:val="20"/>
    </w:rPr>
  </w:style>
  <w:style w:type="paragraph" w:styleId="6">
    <w:name w:val="heading 4"/>
    <w:basedOn w:val="1"/>
    <w:next w:val="1"/>
    <w:link w:val="53"/>
    <w:autoRedefine/>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74"/>
    <w:qFormat/>
    <w:uiPriority w:val="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54"/>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9">
    <w:name w:val="heading 7"/>
    <w:basedOn w:val="1"/>
    <w:next w:val="1"/>
    <w:link w:val="55"/>
    <w:qFormat/>
    <w:uiPriority w:val="0"/>
    <w:pPr>
      <w:keepNext/>
      <w:keepLines/>
      <w:widowControl/>
      <w:tabs>
        <w:tab w:val="left" w:pos="2520"/>
      </w:tabs>
      <w:spacing w:before="240" w:after="64" w:line="319" w:lineRule="auto"/>
      <w:ind w:left="1296" w:hanging="1296"/>
      <w:jc w:val="left"/>
      <w:outlineLvl w:val="6"/>
    </w:pPr>
    <w:rPr>
      <w:rFonts w:ascii="Times New Roman" w:hAnsi="Times New Roman"/>
      <w:b/>
      <w:bCs/>
      <w:kern w:val="0"/>
      <w:sz w:val="24"/>
      <w:szCs w:val="20"/>
    </w:rPr>
  </w:style>
  <w:style w:type="paragraph" w:styleId="10">
    <w:name w:val="heading 8"/>
    <w:basedOn w:val="1"/>
    <w:next w:val="1"/>
    <w:link w:val="56"/>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1">
    <w:name w:val="heading 9"/>
    <w:basedOn w:val="1"/>
    <w:next w:val="1"/>
    <w:link w:val="57"/>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2">
    <w:name w:val="Default Paragraph Font"/>
    <w:qFormat/>
    <w:uiPriority w:val="1"/>
  </w:style>
  <w:style w:type="table" w:default="1" w:styleId="40">
    <w:name w:val="Normal Table"/>
    <w:qFormat/>
    <w:uiPriority w:val="99"/>
    <w:tblPr>
      <w:tblCellMar>
        <w:top w:w="0" w:type="dxa"/>
        <w:left w:w="108" w:type="dxa"/>
        <w:bottom w:w="0" w:type="dxa"/>
        <w:right w:w="108" w:type="dxa"/>
      </w:tblCellMar>
    </w:tblPr>
  </w:style>
  <w:style w:type="paragraph" w:styleId="2">
    <w:name w:val="Body Text"/>
    <w:basedOn w:val="1"/>
    <w:next w:val="1"/>
    <w:link w:val="80"/>
    <w:qFormat/>
    <w:uiPriority w:val="0"/>
    <w:pPr>
      <w:spacing w:after="120"/>
    </w:pPr>
    <w:rPr>
      <w:rFonts w:ascii="Times New Roman" w:hAnsi="Times New Roman"/>
      <w:szCs w:val="20"/>
    </w:rPr>
  </w:style>
  <w:style w:type="paragraph" w:styleId="12">
    <w:name w:val="toc 7"/>
    <w:basedOn w:val="1"/>
    <w:next w:val="1"/>
    <w:qFormat/>
    <w:uiPriority w:val="39"/>
    <w:pPr>
      <w:ind w:left="1200" w:leftChars="1200"/>
    </w:pPr>
  </w:style>
  <w:style w:type="paragraph" w:styleId="13">
    <w:name w:val="table of authorities"/>
    <w:basedOn w:val="1"/>
    <w:next w:val="1"/>
    <w:qFormat/>
    <w:uiPriority w:val="99"/>
    <w:pPr>
      <w:autoSpaceDE w:val="0"/>
      <w:autoSpaceDN w:val="0"/>
      <w:adjustRightInd w:val="0"/>
      <w:ind w:left="420" w:leftChars="200"/>
      <w:jc w:val="left"/>
      <w:textAlignment w:val="baseline"/>
    </w:pPr>
    <w:rPr>
      <w:rFonts w:ascii="宋体" w:hAnsi="宋体"/>
      <w:kern w:val="0"/>
      <w:szCs w:val="20"/>
    </w:rPr>
  </w:style>
  <w:style w:type="paragraph" w:styleId="14">
    <w:name w:val="Normal Indent"/>
    <w:basedOn w:val="1"/>
    <w:qFormat/>
    <w:uiPriority w:val="0"/>
    <w:pPr>
      <w:ind w:firstLine="420"/>
    </w:pPr>
  </w:style>
  <w:style w:type="paragraph" w:styleId="15">
    <w:name w:val="Document Map"/>
    <w:basedOn w:val="1"/>
    <w:link w:val="63"/>
    <w:autoRedefine/>
    <w:qFormat/>
    <w:uiPriority w:val="0"/>
    <w:rPr>
      <w:rFonts w:ascii="宋体" w:cs="宋体"/>
      <w:sz w:val="18"/>
      <w:szCs w:val="18"/>
    </w:rPr>
  </w:style>
  <w:style w:type="paragraph" w:styleId="16">
    <w:name w:val="annotation text"/>
    <w:basedOn w:val="1"/>
    <w:link w:val="61"/>
    <w:autoRedefine/>
    <w:qFormat/>
    <w:uiPriority w:val="0"/>
    <w:pPr>
      <w:jc w:val="left"/>
    </w:pPr>
    <w:rPr>
      <w:rFonts w:ascii="Times New Roman" w:hAnsi="Times New Roman"/>
      <w:szCs w:val="20"/>
    </w:rPr>
  </w:style>
  <w:style w:type="paragraph" w:styleId="17">
    <w:name w:val="Body Text 3"/>
    <w:basedOn w:val="1"/>
    <w:link w:val="65"/>
    <w:qFormat/>
    <w:uiPriority w:val="0"/>
    <w:rPr>
      <w:rFonts w:ascii="宋体"/>
      <w:sz w:val="24"/>
      <w:szCs w:val="20"/>
    </w:rPr>
  </w:style>
  <w:style w:type="paragraph" w:styleId="18">
    <w:name w:val="Body Text Indent"/>
    <w:basedOn w:val="1"/>
    <w:link w:val="82"/>
    <w:autoRedefine/>
    <w:qFormat/>
    <w:uiPriority w:val="0"/>
    <w:pPr>
      <w:spacing w:after="120"/>
      <w:ind w:left="420" w:leftChars="200"/>
    </w:pPr>
    <w:rPr>
      <w:rFonts w:ascii="Times New Roman" w:hAnsi="Times New Roman"/>
      <w:szCs w:val="20"/>
    </w:rPr>
  </w:style>
  <w:style w:type="paragraph" w:styleId="19">
    <w:name w:val="Block Text"/>
    <w:basedOn w:val="1"/>
    <w:qFormat/>
    <w:uiPriority w:val="0"/>
    <w:pPr>
      <w:autoSpaceDE w:val="0"/>
      <w:autoSpaceDN w:val="0"/>
      <w:adjustRightInd w:val="0"/>
      <w:spacing w:line="1270" w:lineRule="exact"/>
      <w:ind w:left="2160" w:right="-20" w:hanging="2160" w:hangingChars="300"/>
    </w:pPr>
    <w:rPr>
      <w:rFonts w:ascii="Times New Roman" w:hAnsi="Times New Roman" w:eastAsia="仿宋_GB2312"/>
      <w:sz w:val="72"/>
      <w:szCs w:val="24"/>
    </w:rPr>
  </w:style>
  <w:style w:type="paragraph" w:styleId="20">
    <w:name w:val="toc 5"/>
    <w:basedOn w:val="1"/>
    <w:next w:val="1"/>
    <w:qFormat/>
    <w:uiPriority w:val="39"/>
    <w:pPr>
      <w:ind w:left="800" w:leftChars="800"/>
    </w:pPr>
  </w:style>
  <w:style w:type="paragraph" w:styleId="21">
    <w:name w:val="toc 3"/>
    <w:basedOn w:val="1"/>
    <w:next w:val="1"/>
    <w:qFormat/>
    <w:uiPriority w:val="39"/>
    <w:pPr>
      <w:ind w:left="400" w:leftChars="400"/>
    </w:pPr>
  </w:style>
  <w:style w:type="paragraph" w:styleId="22">
    <w:name w:val="Plain Text"/>
    <w:basedOn w:val="1"/>
    <w:qFormat/>
    <w:uiPriority w:val="0"/>
    <w:rPr>
      <w:rFonts w:ascii="宋体"/>
    </w:rPr>
  </w:style>
  <w:style w:type="paragraph" w:styleId="23">
    <w:name w:val="toc 8"/>
    <w:basedOn w:val="1"/>
    <w:next w:val="1"/>
    <w:autoRedefine/>
    <w:qFormat/>
    <w:uiPriority w:val="39"/>
    <w:pPr>
      <w:ind w:left="1400" w:leftChars="1400"/>
    </w:pPr>
  </w:style>
  <w:style w:type="paragraph" w:styleId="24">
    <w:name w:val="Date"/>
    <w:basedOn w:val="1"/>
    <w:next w:val="1"/>
    <w:link w:val="69"/>
    <w:qFormat/>
    <w:uiPriority w:val="0"/>
    <w:pPr>
      <w:ind w:left="2500" w:leftChars="2500"/>
    </w:pPr>
    <w:rPr>
      <w:rFonts w:ascii="Times New Roman" w:hAnsi="Times New Roman"/>
      <w:szCs w:val="20"/>
    </w:rPr>
  </w:style>
  <w:style w:type="paragraph" w:styleId="25">
    <w:name w:val="Balloon Text"/>
    <w:basedOn w:val="1"/>
    <w:link w:val="68"/>
    <w:autoRedefine/>
    <w:qFormat/>
    <w:uiPriority w:val="0"/>
    <w:rPr>
      <w:rFonts w:ascii="Times New Roman" w:hAnsi="Times New Roman"/>
      <w:sz w:val="18"/>
      <w:szCs w:val="20"/>
    </w:rPr>
  </w:style>
  <w:style w:type="paragraph" w:styleId="26">
    <w:name w:val="footer"/>
    <w:basedOn w:val="1"/>
    <w:link w:val="64"/>
    <w:qFormat/>
    <w:uiPriority w:val="0"/>
    <w:pPr>
      <w:tabs>
        <w:tab w:val="center" w:pos="4153"/>
        <w:tab w:val="right" w:pos="8306"/>
      </w:tabs>
      <w:snapToGrid w:val="0"/>
      <w:jc w:val="left"/>
    </w:pPr>
    <w:rPr>
      <w:sz w:val="18"/>
    </w:rPr>
  </w:style>
  <w:style w:type="paragraph" w:styleId="27">
    <w:name w:val="header"/>
    <w:basedOn w:val="1"/>
    <w:link w:val="67"/>
    <w:qFormat/>
    <w:uiPriority w:val="0"/>
    <w:pPr>
      <w:tabs>
        <w:tab w:val="center" w:pos="4153"/>
        <w:tab w:val="right" w:pos="8306"/>
      </w:tabs>
      <w:snapToGrid w:val="0"/>
    </w:pPr>
    <w:rPr>
      <w:rFonts w:ascii="Times New Roman" w:hAnsi="Times New Roman"/>
      <w:sz w:val="18"/>
      <w:szCs w:val="20"/>
    </w:rPr>
  </w:style>
  <w:style w:type="paragraph" w:styleId="28">
    <w:name w:val="toc 1"/>
    <w:basedOn w:val="1"/>
    <w:next w:val="1"/>
    <w:qFormat/>
    <w:uiPriority w:val="39"/>
  </w:style>
  <w:style w:type="paragraph" w:styleId="29">
    <w:name w:val="toc 4"/>
    <w:basedOn w:val="1"/>
    <w:next w:val="1"/>
    <w:autoRedefine/>
    <w:qFormat/>
    <w:uiPriority w:val="39"/>
    <w:pPr>
      <w:ind w:left="600" w:leftChars="600"/>
    </w:pPr>
  </w:style>
  <w:style w:type="paragraph" w:styleId="30">
    <w:name w:val="Subtitle"/>
    <w:basedOn w:val="1"/>
    <w:qFormat/>
    <w:uiPriority w:val="0"/>
    <w:pPr>
      <w:widowControl/>
      <w:jc w:val="center"/>
    </w:pPr>
    <w:rPr>
      <w:kern w:val="0"/>
      <w:sz w:val="20"/>
      <w:u w:val="single"/>
      <w:lang w:eastAsia="en-US"/>
    </w:rPr>
  </w:style>
  <w:style w:type="paragraph" w:styleId="31">
    <w:name w:val="toc 6"/>
    <w:basedOn w:val="1"/>
    <w:next w:val="1"/>
    <w:autoRedefine/>
    <w:qFormat/>
    <w:uiPriority w:val="39"/>
    <w:pPr>
      <w:ind w:left="1000" w:leftChars="1000"/>
    </w:pPr>
  </w:style>
  <w:style w:type="paragraph" w:styleId="32">
    <w:name w:val="Body Text Indent 3"/>
    <w:basedOn w:val="1"/>
    <w:link w:val="66"/>
    <w:autoRedefine/>
    <w:qFormat/>
    <w:uiPriority w:val="0"/>
    <w:pPr>
      <w:spacing w:after="120"/>
      <w:ind w:left="200" w:leftChars="200"/>
    </w:pPr>
    <w:rPr>
      <w:sz w:val="16"/>
      <w:szCs w:val="16"/>
    </w:rPr>
  </w:style>
  <w:style w:type="paragraph" w:styleId="33">
    <w:name w:val="toc 2"/>
    <w:basedOn w:val="1"/>
    <w:next w:val="1"/>
    <w:autoRedefine/>
    <w:qFormat/>
    <w:uiPriority w:val="39"/>
    <w:pPr>
      <w:ind w:left="200" w:leftChars="200"/>
    </w:pPr>
  </w:style>
  <w:style w:type="paragraph" w:styleId="34">
    <w:name w:val="toc 9"/>
    <w:basedOn w:val="1"/>
    <w:next w:val="1"/>
    <w:autoRedefine/>
    <w:qFormat/>
    <w:uiPriority w:val="39"/>
    <w:pPr>
      <w:ind w:left="1600" w:leftChars="1600"/>
    </w:pPr>
  </w:style>
  <w:style w:type="paragraph" w:styleId="35">
    <w:name w:val="Normal (Web)"/>
    <w:basedOn w:val="1"/>
    <w:autoRedefine/>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6">
    <w:name w:val="index 1"/>
    <w:basedOn w:val="1"/>
    <w:next w:val="1"/>
    <w:autoRedefine/>
    <w:qFormat/>
    <w:uiPriority w:val="0"/>
    <w:pPr>
      <w:spacing w:line="220" w:lineRule="exact"/>
      <w:jc w:val="center"/>
    </w:pPr>
    <w:rPr>
      <w:rFonts w:ascii="仿宋_GB2312" w:hAnsi="Times New Roman" w:eastAsia="仿宋_GB2312"/>
      <w:szCs w:val="21"/>
    </w:rPr>
  </w:style>
  <w:style w:type="paragraph" w:styleId="37">
    <w:name w:val="Title"/>
    <w:basedOn w:val="1"/>
    <w:link w:val="86"/>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8">
    <w:name w:val="annotation subject"/>
    <w:basedOn w:val="16"/>
    <w:next w:val="16"/>
    <w:link w:val="62"/>
    <w:autoRedefine/>
    <w:qFormat/>
    <w:uiPriority w:val="0"/>
  </w:style>
  <w:style w:type="paragraph" w:styleId="39">
    <w:name w:val="Body Text First Indent"/>
    <w:basedOn w:val="1"/>
    <w:link w:val="81"/>
    <w:autoRedefine/>
    <w:qFormat/>
    <w:uiPriority w:val="0"/>
    <w:pPr>
      <w:spacing w:line="312" w:lineRule="auto"/>
      <w:ind w:firstLine="420"/>
    </w:pPr>
    <w:rPr>
      <w:rFonts w:ascii="Times New Roman" w:hAnsi="Times New Roman"/>
      <w:szCs w:val="24"/>
    </w:rPr>
  </w:style>
  <w:style w:type="table" w:styleId="41">
    <w:name w:val="Table Grid"/>
    <w:basedOn w:val="4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0"/>
    <w:rPr>
      <w:b/>
      <w:bCs/>
    </w:rPr>
  </w:style>
  <w:style w:type="character" w:styleId="44">
    <w:name w:val="page number"/>
    <w:basedOn w:val="42"/>
    <w:autoRedefine/>
    <w:qFormat/>
    <w:uiPriority w:val="0"/>
  </w:style>
  <w:style w:type="character" w:styleId="45">
    <w:name w:val="Hyperlink"/>
    <w:autoRedefine/>
    <w:qFormat/>
    <w:uiPriority w:val="99"/>
    <w:rPr>
      <w:color w:val="0000FF"/>
      <w:u w:val="single"/>
    </w:rPr>
  </w:style>
  <w:style w:type="character" w:styleId="46">
    <w:name w:val="annotation reference"/>
    <w:autoRedefine/>
    <w:qFormat/>
    <w:uiPriority w:val="0"/>
    <w:rPr>
      <w:sz w:val="21"/>
    </w:rPr>
  </w:style>
  <w:style w:type="character" w:styleId="47">
    <w:name w:val="footnote reference"/>
    <w:autoRedefine/>
    <w:qFormat/>
    <w:uiPriority w:val="0"/>
    <w:rPr>
      <w:vertAlign w:val="superscript"/>
    </w:rPr>
  </w:style>
  <w:style w:type="paragraph" w:customStyle="1" w:styleId="48">
    <w:name w:val="正文缩2"/>
    <w:autoRedefine/>
    <w:qFormat/>
    <w:uiPriority w:val="0"/>
    <w:pPr>
      <w:spacing w:line="360" w:lineRule="auto"/>
      <w:ind w:firstLine="240" w:firstLineChars="100"/>
    </w:pPr>
    <w:rPr>
      <w:rFonts w:ascii="Calibri" w:hAnsi="Calibri" w:eastAsia="宋体" w:cs="Times New Roman"/>
      <w:color w:val="FF0000"/>
      <w:sz w:val="24"/>
      <w:szCs w:val="24"/>
      <w:lang w:val="en-US" w:eastAsia="zh-CN" w:bidi="ar-SA"/>
    </w:rPr>
  </w:style>
  <w:style w:type="paragraph" w:customStyle="1" w:styleId="49">
    <w:name w:val="NormalIndent"/>
    <w:basedOn w:val="1"/>
    <w:next w:val="1"/>
    <w:autoRedefine/>
    <w:qFormat/>
    <w:uiPriority w:val="0"/>
    <w:pPr>
      <w:ind w:firstLine="420" w:firstLineChars="200"/>
      <w:textAlignment w:val="baseline"/>
    </w:pPr>
  </w:style>
  <w:style w:type="character" w:customStyle="1" w:styleId="50">
    <w:name w:val="标题 1 Char"/>
    <w:basedOn w:val="42"/>
    <w:link w:val="3"/>
    <w:autoRedefine/>
    <w:qFormat/>
    <w:uiPriority w:val="0"/>
    <w:rPr>
      <w:rFonts w:eastAsia="宋体"/>
      <w:b/>
      <w:kern w:val="44"/>
      <w:sz w:val="44"/>
    </w:rPr>
  </w:style>
  <w:style w:type="character" w:customStyle="1" w:styleId="51">
    <w:name w:val="标题 2 Char"/>
    <w:basedOn w:val="42"/>
    <w:link w:val="4"/>
    <w:autoRedefine/>
    <w:qFormat/>
    <w:uiPriority w:val="0"/>
    <w:rPr>
      <w:rFonts w:ascii="Arial" w:hAnsi="Arial" w:eastAsia="黑体"/>
      <w:b/>
      <w:kern w:val="2"/>
      <w:sz w:val="32"/>
    </w:rPr>
  </w:style>
  <w:style w:type="character" w:customStyle="1" w:styleId="52">
    <w:name w:val="标题 3 Char"/>
    <w:basedOn w:val="42"/>
    <w:link w:val="5"/>
    <w:qFormat/>
    <w:uiPriority w:val="0"/>
    <w:rPr>
      <w:rFonts w:ascii="黑体" w:hAnsi="Calibri" w:eastAsia="黑体"/>
      <w:kern w:val="2"/>
      <w:sz w:val="28"/>
    </w:rPr>
  </w:style>
  <w:style w:type="character" w:customStyle="1" w:styleId="53">
    <w:name w:val="标题 4 Char"/>
    <w:basedOn w:val="42"/>
    <w:link w:val="6"/>
    <w:autoRedefine/>
    <w:qFormat/>
    <w:uiPriority w:val="0"/>
    <w:rPr>
      <w:rFonts w:ascii="Arial" w:hAnsi="Arial" w:eastAsia="黑体"/>
      <w:b/>
      <w:bCs/>
      <w:kern w:val="2"/>
      <w:sz w:val="28"/>
      <w:szCs w:val="28"/>
    </w:rPr>
  </w:style>
  <w:style w:type="character" w:customStyle="1" w:styleId="54">
    <w:name w:val="标题 6 Char"/>
    <w:basedOn w:val="42"/>
    <w:link w:val="8"/>
    <w:autoRedefine/>
    <w:qFormat/>
    <w:uiPriority w:val="0"/>
    <w:rPr>
      <w:rFonts w:ascii="Arial" w:hAnsi="Arial" w:eastAsia="黑体"/>
      <w:b/>
      <w:bCs/>
      <w:sz w:val="24"/>
    </w:rPr>
  </w:style>
  <w:style w:type="character" w:customStyle="1" w:styleId="55">
    <w:name w:val="标题 7 Char"/>
    <w:basedOn w:val="42"/>
    <w:link w:val="9"/>
    <w:autoRedefine/>
    <w:qFormat/>
    <w:uiPriority w:val="0"/>
    <w:rPr>
      <w:rFonts w:eastAsia="宋体"/>
      <w:b/>
      <w:bCs/>
      <w:sz w:val="24"/>
    </w:rPr>
  </w:style>
  <w:style w:type="character" w:customStyle="1" w:styleId="56">
    <w:name w:val="标题 8 Char"/>
    <w:basedOn w:val="42"/>
    <w:link w:val="10"/>
    <w:autoRedefine/>
    <w:qFormat/>
    <w:uiPriority w:val="0"/>
    <w:rPr>
      <w:rFonts w:ascii="Arial" w:hAnsi="Arial" w:eastAsia="黑体"/>
      <w:sz w:val="24"/>
    </w:rPr>
  </w:style>
  <w:style w:type="character" w:customStyle="1" w:styleId="57">
    <w:name w:val="标题 9 Char"/>
    <w:basedOn w:val="42"/>
    <w:link w:val="11"/>
    <w:autoRedefine/>
    <w:qFormat/>
    <w:uiPriority w:val="0"/>
    <w:rPr>
      <w:rFonts w:ascii="Arial" w:hAnsi="Arial" w:eastAsia="黑体"/>
      <w:sz w:val="21"/>
      <w:szCs w:val="21"/>
    </w:rPr>
  </w:style>
  <w:style w:type="character" w:customStyle="1" w:styleId="58">
    <w:name w:val="style_kwd"/>
    <w:basedOn w:val="42"/>
    <w:autoRedefine/>
    <w:qFormat/>
    <w:uiPriority w:val="0"/>
  </w:style>
  <w:style w:type="character" w:customStyle="1" w:styleId="59">
    <w:name w:val="批注文字 Char1"/>
    <w:autoRedefine/>
    <w:qFormat/>
    <w:uiPriority w:val="0"/>
    <w:rPr>
      <w:rFonts w:ascii="Times New Roman" w:hAnsi="Times New Roman" w:eastAsia="宋体" w:cs="Times New Roman"/>
      <w:sz w:val="20"/>
      <w:szCs w:val="20"/>
      <w:lang w:bidi="ar-SA"/>
    </w:rPr>
  </w:style>
  <w:style w:type="character" w:customStyle="1" w:styleId="60">
    <w:name w:val="Comment Text Char"/>
    <w:autoRedefine/>
    <w:qFormat/>
    <w:uiPriority w:val="0"/>
  </w:style>
  <w:style w:type="character" w:customStyle="1" w:styleId="61">
    <w:name w:val="批注文字 Char"/>
    <w:basedOn w:val="42"/>
    <w:link w:val="16"/>
    <w:autoRedefine/>
    <w:qFormat/>
    <w:uiPriority w:val="0"/>
    <w:rPr>
      <w:rFonts w:eastAsia="宋体"/>
      <w:kern w:val="2"/>
      <w:sz w:val="21"/>
    </w:rPr>
  </w:style>
  <w:style w:type="character" w:customStyle="1" w:styleId="62">
    <w:name w:val="批注主题 Char"/>
    <w:link w:val="38"/>
    <w:autoRedefine/>
    <w:qFormat/>
    <w:uiPriority w:val="0"/>
    <w:rPr>
      <w:rFonts w:eastAsia="宋体"/>
      <w:kern w:val="2"/>
      <w:sz w:val="21"/>
    </w:rPr>
  </w:style>
  <w:style w:type="character" w:customStyle="1" w:styleId="63">
    <w:name w:val="文档结构图 Char"/>
    <w:link w:val="15"/>
    <w:autoRedefine/>
    <w:qFormat/>
    <w:uiPriority w:val="0"/>
    <w:rPr>
      <w:rFonts w:ascii="宋体" w:hAnsi="Calibri" w:eastAsia="宋体" w:cs="宋体"/>
      <w:kern w:val="2"/>
      <w:sz w:val="18"/>
      <w:szCs w:val="18"/>
    </w:rPr>
  </w:style>
  <w:style w:type="character" w:customStyle="1" w:styleId="64">
    <w:name w:val="页脚 Char"/>
    <w:link w:val="26"/>
    <w:autoRedefine/>
    <w:qFormat/>
    <w:uiPriority w:val="0"/>
    <w:rPr>
      <w:rFonts w:ascii="Calibri" w:hAnsi="Calibri" w:eastAsia="宋体"/>
      <w:kern w:val="2"/>
      <w:sz w:val="18"/>
      <w:szCs w:val="22"/>
    </w:rPr>
  </w:style>
  <w:style w:type="character" w:customStyle="1" w:styleId="65">
    <w:name w:val="正文文本 3 Char"/>
    <w:basedOn w:val="42"/>
    <w:link w:val="17"/>
    <w:autoRedefine/>
    <w:qFormat/>
    <w:uiPriority w:val="0"/>
    <w:rPr>
      <w:rFonts w:ascii="宋体" w:hAnsi="Calibri" w:eastAsia="宋体"/>
      <w:kern w:val="2"/>
      <w:sz w:val="24"/>
    </w:rPr>
  </w:style>
  <w:style w:type="character" w:customStyle="1" w:styleId="66">
    <w:name w:val="正文文本缩进 3 Char"/>
    <w:basedOn w:val="42"/>
    <w:link w:val="32"/>
    <w:autoRedefine/>
    <w:qFormat/>
    <w:uiPriority w:val="0"/>
    <w:rPr>
      <w:rFonts w:ascii="Calibri" w:hAnsi="Calibri" w:eastAsia="宋体"/>
      <w:kern w:val="2"/>
      <w:sz w:val="16"/>
      <w:szCs w:val="16"/>
    </w:rPr>
  </w:style>
  <w:style w:type="character" w:customStyle="1" w:styleId="67">
    <w:name w:val="页眉 Char"/>
    <w:link w:val="27"/>
    <w:autoRedefine/>
    <w:qFormat/>
    <w:uiPriority w:val="0"/>
    <w:rPr>
      <w:rFonts w:eastAsia="宋体"/>
      <w:kern w:val="2"/>
      <w:sz w:val="18"/>
    </w:rPr>
  </w:style>
  <w:style w:type="character" w:customStyle="1" w:styleId="68">
    <w:name w:val="批注框文本 Char"/>
    <w:link w:val="25"/>
    <w:autoRedefine/>
    <w:qFormat/>
    <w:uiPriority w:val="0"/>
    <w:rPr>
      <w:rFonts w:eastAsia="宋体"/>
      <w:kern w:val="2"/>
      <w:sz w:val="18"/>
    </w:rPr>
  </w:style>
  <w:style w:type="character" w:customStyle="1" w:styleId="69">
    <w:name w:val="日期 Char"/>
    <w:link w:val="24"/>
    <w:autoRedefine/>
    <w:qFormat/>
    <w:uiPriority w:val="0"/>
    <w:rPr>
      <w:rFonts w:eastAsia="宋体"/>
      <w:kern w:val="2"/>
      <w:sz w:val="21"/>
    </w:rPr>
  </w:style>
  <w:style w:type="paragraph" w:customStyle="1" w:styleId="70">
    <w:name w:val="修订1"/>
    <w:autoRedefine/>
    <w:qFormat/>
    <w:uiPriority w:val="0"/>
    <w:rPr>
      <w:rFonts w:ascii="Times New Roman" w:hAnsi="Times New Roman" w:eastAsia="宋体" w:cs="Times New Roman"/>
      <w:kern w:val="2"/>
      <w:sz w:val="21"/>
      <w:lang w:val="en-US" w:eastAsia="zh-CN" w:bidi="ar-SA"/>
    </w:rPr>
  </w:style>
  <w:style w:type="paragraph" w:customStyle="1" w:styleId="71">
    <w:name w:val="_Style 23"/>
    <w:basedOn w:val="1"/>
    <w:autoRedefine/>
    <w:qFormat/>
    <w:uiPriority w:val="0"/>
    <w:pPr>
      <w:widowControl/>
      <w:spacing w:after="160" w:line="240" w:lineRule="exact"/>
      <w:jc w:val="left"/>
    </w:pPr>
  </w:style>
  <w:style w:type="paragraph" w:customStyle="1" w:styleId="72">
    <w:name w:val="TOC 标题1"/>
    <w:basedOn w:val="3"/>
    <w:next w:val="1"/>
    <w:autoRedefine/>
    <w:qFormat/>
    <w:uiPriority w:val="0"/>
    <w:pPr>
      <w:widowControl/>
      <w:spacing w:before="480" w:after="0" w:line="276" w:lineRule="auto"/>
      <w:jc w:val="left"/>
      <w:outlineLvl w:val="9"/>
    </w:pPr>
    <w:rPr>
      <w:rFonts w:ascii="Cambria" w:hAnsi="Cambria"/>
      <w:color w:val="365F91"/>
      <w:kern w:val="0"/>
      <w:sz w:val="28"/>
    </w:rPr>
  </w:style>
  <w:style w:type="character" w:customStyle="1" w:styleId="73">
    <w:name w:val="font161"/>
    <w:autoRedefine/>
    <w:qFormat/>
    <w:uiPriority w:val="0"/>
    <w:rPr>
      <w:b/>
      <w:bCs/>
      <w:sz w:val="32"/>
      <w:szCs w:val="32"/>
    </w:rPr>
  </w:style>
  <w:style w:type="character" w:customStyle="1" w:styleId="74">
    <w:name w:val="标题 5 Char"/>
    <w:basedOn w:val="42"/>
    <w:link w:val="7"/>
    <w:autoRedefine/>
    <w:qFormat/>
    <w:uiPriority w:val="9"/>
    <w:rPr>
      <w:rFonts w:eastAsia="宋体"/>
      <w:b/>
      <w:bCs/>
      <w:kern w:val="2"/>
      <w:sz w:val="28"/>
      <w:szCs w:val="28"/>
    </w:rPr>
  </w:style>
  <w:style w:type="character" w:customStyle="1" w:styleId="75">
    <w:name w:val="正文首行缩进 Char"/>
    <w:basedOn w:val="76"/>
    <w:autoRedefine/>
    <w:qFormat/>
    <w:uiPriority w:val="0"/>
    <w:rPr>
      <w:rFonts w:eastAsia="宋体"/>
      <w:kern w:val="2"/>
      <w:sz w:val="21"/>
      <w:szCs w:val="24"/>
      <w:lang w:val="en-US" w:eastAsia="zh-CN" w:bidi="ar-SA"/>
    </w:rPr>
  </w:style>
  <w:style w:type="character" w:customStyle="1" w:styleId="76">
    <w:name w:val="正文文本 Char"/>
    <w:autoRedefine/>
    <w:qFormat/>
    <w:uiPriority w:val="0"/>
    <w:rPr>
      <w:rFonts w:eastAsia="宋体"/>
      <w:kern w:val="2"/>
      <w:sz w:val="21"/>
      <w:szCs w:val="24"/>
      <w:lang w:val="en-US" w:eastAsia="zh-CN" w:bidi="ar-SA"/>
    </w:rPr>
  </w:style>
  <w:style w:type="paragraph" w:customStyle="1" w:styleId="77">
    <w:name w:val="表格文字"/>
    <w:basedOn w:val="1"/>
    <w:autoRedefine/>
    <w:qFormat/>
    <w:uiPriority w:val="0"/>
    <w:pPr>
      <w:adjustRightInd w:val="0"/>
      <w:spacing w:line="420" w:lineRule="atLeast"/>
      <w:jc w:val="left"/>
      <w:textAlignment w:val="baseline"/>
    </w:pPr>
    <w:rPr>
      <w:rFonts w:ascii="Times New Roman" w:hAnsi="Times New Roman"/>
      <w:kern w:val="0"/>
      <w:szCs w:val="20"/>
    </w:rPr>
  </w:style>
  <w:style w:type="paragraph" w:customStyle="1" w:styleId="78">
    <w:name w:val="Char"/>
    <w:basedOn w:val="1"/>
    <w:autoRedefine/>
    <w:qFormat/>
    <w:uiPriority w:val="0"/>
    <w:pPr>
      <w:widowControl/>
      <w:spacing w:after="160" w:line="240" w:lineRule="exact"/>
      <w:jc w:val="left"/>
    </w:pPr>
    <w:rPr>
      <w:rFonts w:ascii="Verdana" w:hAnsi="Verdana"/>
      <w:kern w:val="0"/>
      <w:sz w:val="20"/>
      <w:szCs w:val="20"/>
      <w:lang w:eastAsia="en-US"/>
    </w:rPr>
  </w:style>
  <w:style w:type="paragraph" w:styleId="79">
    <w:name w:val="List Paragraph"/>
    <w:basedOn w:val="1"/>
    <w:autoRedefine/>
    <w:qFormat/>
    <w:uiPriority w:val="0"/>
    <w:pPr>
      <w:ind w:firstLine="420" w:firstLineChars="200"/>
    </w:pPr>
  </w:style>
  <w:style w:type="character" w:customStyle="1" w:styleId="80">
    <w:name w:val="正文文本 Char1"/>
    <w:basedOn w:val="42"/>
    <w:link w:val="2"/>
    <w:autoRedefine/>
    <w:qFormat/>
    <w:uiPriority w:val="0"/>
    <w:rPr>
      <w:rFonts w:eastAsia="宋体"/>
      <w:kern w:val="2"/>
      <w:sz w:val="21"/>
    </w:rPr>
  </w:style>
  <w:style w:type="character" w:customStyle="1" w:styleId="81">
    <w:name w:val="正文首行缩进 Char1"/>
    <w:basedOn w:val="80"/>
    <w:link w:val="39"/>
    <w:autoRedefine/>
    <w:qFormat/>
    <w:uiPriority w:val="99"/>
    <w:rPr>
      <w:rFonts w:eastAsia="宋体"/>
      <w:kern w:val="2"/>
      <w:sz w:val="21"/>
    </w:rPr>
  </w:style>
  <w:style w:type="character" w:customStyle="1" w:styleId="82">
    <w:name w:val="正文文本缩进 Char"/>
    <w:basedOn w:val="42"/>
    <w:link w:val="18"/>
    <w:qFormat/>
    <w:uiPriority w:val="0"/>
    <w:rPr>
      <w:rFonts w:eastAsia="宋体"/>
      <w:kern w:val="2"/>
      <w:sz w:val="21"/>
    </w:rPr>
  </w:style>
  <w:style w:type="paragraph" w:customStyle="1" w:styleId="83">
    <w:name w:val="我的正文"/>
    <w:basedOn w:val="1"/>
    <w:autoRedefine/>
    <w:qFormat/>
    <w:uiPriority w:val="0"/>
    <w:rPr>
      <w:rFonts w:ascii="宋体" w:hAnsi="宋体"/>
      <w:sz w:val="24"/>
      <w:szCs w:val="24"/>
    </w:rPr>
  </w:style>
  <w:style w:type="paragraph" w:customStyle="1" w:styleId="84">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rPr>
  </w:style>
  <w:style w:type="paragraph" w:customStyle="1" w:styleId="85">
    <w:name w:val="样式2"/>
    <w:basedOn w:val="5"/>
    <w:autoRedefine/>
    <w:qFormat/>
    <w:uiPriority w:val="0"/>
    <w:pPr>
      <w:spacing w:line="415" w:lineRule="auto"/>
      <w:ind w:firstLine="137"/>
    </w:pPr>
    <w:rPr>
      <w:rFonts w:hAnsi="Times New Roman"/>
      <w:bCs/>
      <w:i/>
      <w:szCs w:val="28"/>
    </w:rPr>
  </w:style>
  <w:style w:type="character" w:customStyle="1" w:styleId="86">
    <w:name w:val="标题 Char"/>
    <w:basedOn w:val="42"/>
    <w:link w:val="37"/>
    <w:autoRedefine/>
    <w:qFormat/>
    <w:uiPriority w:val="0"/>
    <w:rPr>
      <w:rFonts w:ascii="Arial" w:hAnsi="Arial" w:eastAsia="宋体"/>
      <w:b/>
      <w:sz w:val="32"/>
    </w:rPr>
  </w:style>
  <w:style w:type="paragraph" w:customStyle="1" w:styleId="87">
    <w:name w:val="Char1"/>
    <w:basedOn w:val="1"/>
    <w:autoRedefine/>
    <w:qFormat/>
    <w:uiPriority w:val="0"/>
    <w:pPr>
      <w:tabs>
        <w:tab w:val="left" w:pos="360"/>
      </w:tabs>
    </w:pPr>
    <w:rPr>
      <w:rFonts w:ascii="Times New Roman" w:hAnsi="Times New Roman"/>
      <w:sz w:val="24"/>
      <w:szCs w:val="20"/>
    </w:rPr>
  </w:style>
  <w:style w:type="paragraph" w:customStyle="1" w:styleId="88">
    <w:name w:val="修订11"/>
    <w:autoRedefine/>
    <w:qFormat/>
    <w:uiPriority w:val="0"/>
    <w:rPr>
      <w:rFonts w:ascii="Times New Roman" w:hAnsi="Times New Roman" w:eastAsia="宋体" w:cs="Times New Roman"/>
      <w:kern w:val="2"/>
      <w:sz w:val="21"/>
      <w:szCs w:val="24"/>
      <w:lang w:val="en-US" w:eastAsia="zh-CN" w:bidi="ar-SA"/>
    </w:rPr>
  </w:style>
  <w:style w:type="paragraph" w:customStyle="1" w:styleId="89">
    <w:name w:val="样式1"/>
    <w:basedOn w:val="1"/>
    <w:next w:val="6"/>
    <w:qFormat/>
    <w:uiPriority w:val="0"/>
    <w:pPr>
      <w:spacing w:line="360" w:lineRule="auto"/>
      <w:ind w:firstLine="420" w:firstLineChars="200"/>
    </w:pPr>
    <w:rPr>
      <w:rFonts w:ascii="宋体" w:hAnsi="宋体"/>
      <w:szCs w:val="21"/>
    </w:rPr>
  </w:style>
  <w:style w:type="paragraph" w:customStyle="1" w:styleId="90">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91">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sz w:val="32"/>
    </w:rPr>
  </w:style>
  <w:style w:type="paragraph" w:customStyle="1" w:styleId="92">
    <w:name w:val="样式 标题 3 + (中文) 黑体 小四 非加粗 段前: 7.8 磅 段后: 0 磅 行距: 固定值 20 磅"/>
    <w:basedOn w:val="5"/>
    <w:autoRedefine/>
    <w:qFormat/>
    <w:uiPriority w:val="0"/>
    <w:pPr>
      <w:spacing w:before="0" w:after="0" w:line="400" w:lineRule="exact"/>
      <w:ind w:firstLine="137"/>
    </w:pPr>
    <w:rPr>
      <w:rFonts w:hAnsi="Times New Roman" w:cs="宋体"/>
      <w:sz w:val="24"/>
    </w:rPr>
  </w:style>
  <w:style w:type="paragraph" w:customStyle="1" w:styleId="93">
    <w:name w:val="1"/>
    <w:basedOn w:val="1"/>
    <w:qFormat/>
    <w:uiPriority w:val="0"/>
    <w:rPr>
      <w:rFonts w:ascii="Times New Roman" w:hAnsi="Times New Roman"/>
      <w:szCs w:val="20"/>
    </w:rPr>
  </w:style>
  <w:style w:type="paragraph" w:customStyle="1" w:styleId="94">
    <w:name w:val="表格"/>
    <w:basedOn w:val="1"/>
    <w:qFormat/>
    <w:uiPriority w:val="0"/>
    <w:pPr>
      <w:jc w:val="center"/>
      <w:textAlignment w:val="center"/>
    </w:pPr>
    <w:rPr>
      <w:rFonts w:ascii="华文细黑" w:hAnsi="华文细黑"/>
      <w:kern w:val="0"/>
      <w:szCs w:val="20"/>
    </w:rPr>
  </w:style>
  <w:style w:type="paragraph" w:customStyle="1" w:styleId="95">
    <w:name w:val="修订2"/>
    <w:qFormat/>
    <w:uiPriority w:val="0"/>
    <w:rPr>
      <w:rFonts w:ascii="Times New Roman" w:hAnsi="Times New Roman" w:eastAsia="宋体" w:cs="Times New Roman"/>
      <w:kern w:val="2"/>
      <w:sz w:val="21"/>
      <w:szCs w:val="24"/>
      <w:lang w:val="en-US" w:eastAsia="zh-CN" w:bidi="ar-SA"/>
    </w:rPr>
  </w:style>
  <w:style w:type="paragraph" w:customStyle="1" w:styleId="96">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97">
    <w:name w:val="font11"/>
    <w:basedOn w:val="42"/>
    <w:autoRedefine/>
    <w:qFormat/>
    <w:uiPriority w:val="0"/>
    <w:rPr>
      <w:rFonts w:hint="eastAsia" w:ascii="宋体" w:hAnsi="宋体" w:eastAsia="宋体" w:cs="宋体"/>
      <w:color w:val="000000"/>
      <w:sz w:val="28"/>
      <w:szCs w:val="28"/>
      <w:u w:val="none"/>
    </w:rPr>
  </w:style>
  <w:style w:type="character" w:customStyle="1" w:styleId="98">
    <w:name w:val="font21"/>
    <w:basedOn w:val="42"/>
    <w:qFormat/>
    <w:uiPriority w:val="0"/>
    <w:rPr>
      <w:rFonts w:hint="eastAsia" w:ascii="宋体" w:hAnsi="宋体" w:eastAsia="宋体" w:cs="宋体"/>
      <w:b/>
      <w:color w:val="000000"/>
      <w:sz w:val="28"/>
      <w:szCs w:val="28"/>
      <w:u w:val="none"/>
    </w:rPr>
  </w:style>
  <w:style w:type="paragraph" w:customStyle="1" w:styleId="99">
    <w:name w:val="列出段落1"/>
    <w:basedOn w:val="1"/>
    <w:semiHidden/>
    <w:qFormat/>
    <w:uiPriority w:val="0"/>
    <w:pPr>
      <w:ind w:firstLine="420" w:firstLineChars="200"/>
    </w:pPr>
    <w:rPr>
      <w:szCs w:val="20"/>
    </w:rPr>
  </w:style>
  <w:style w:type="character" w:customStyle="1" w:styleId="100">
    <w:name w:val="font12"/>
    <w:qFormat/>
    <w:uiPriority w:val="0"/>
    <w:rPr>
      <w:rFonts w:hint="eastAsia" w:ascii="宋体" w:hAnsi="宋体" w:eastAsia="宋体" w:cs="宋体"/>
      <w:color w:val="000000"/>
      <w:sz w:val="20"/>
      <w:szCs w:val="20"/>
      <w:u w:val="none"/>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oleObject" Target="embeddings/oleObject2.bin"/><Relationship Id="rId15" Type="http://schemas.openxmlformats.org/officeDocument/2006/relationships/image" Target="media/image1.w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82</Pages>
  <Words>13891</Words>
  <Characters>14892</Characters>
  <Paragraphs>6553</Paragraphs>
  <TotalTime>4</TotalTime>
  <ScaleCrop>false</ScaleCrop>
  <LinksUpToDate>false</LinksUpToDate>
  <CharactersWithSpaces>15292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2017-12-25T03:18:00Z</dcterms:created>
  <dc:creator>袁静</dc:creator>
  <cp:lastModifiedBy>重庆涪陵聚龙电力有限公司</cp:lastModifiedBy>
  <cp:lastPrinted>2017-09-04T12:42:00Z</cp:lastPrinted>
  <dcterms:modified xsi:type="dcterms:W3CDTF">2025-06-24T06:57:59Z</dcterms:modified>
  <dc:title>中华人民共和国</dc:title>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SaveFontToCloudKey">
    <vt:lpwstr>0_btnclosed</vt:lpwstr>
  </property>
  <property fmtid="{D5CDD505-2E9C-101B-9397-08002B2CF9AE}" pid="4" name="ICV">
    <vt:lpwstr>61571e7e48a9494db5367edfc7eb34c2_23</vt:lpwstr>
  </property>
  <property fmtid="{D5CDD505-2E9C-101B-9397-08002B2CF9AE}" pid="5" name="KSOTemplateDocerSaveRecord">
    <vt:lpwstr>eyJoZGlkIjoiZDMwMjdmY2ZjMjYwZTJkOTlmMTRjMDE0ZTM1NzQ5NGUiLCJ1c2VySWQiOiIzODQ3NTk2NDAifQ==</vt:lpwstr>
  </property>
</Properties>
</file>